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8E" w:rsidRDefault="005204AB" w:rsidP="006D4D8E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ТЕХНИЧЕСКА СПЕЦИФИКАЦИЯ</w:t>
      </w:r>
    </w:p>
    <w:p w:rsidR="005204AB" w:rsidRPr="005204AB" w:rsidRDefault="005204AB" w:rsidP="006D4D8E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C85A53" w:rsidRPr="006D4D8E" w:rsidRDefault="00C85A53" w:rsidP="006D4D8E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C74039">
        <w:rPr>
          <w:rFonts w:ascii="Times New Roman" w:hAnsi="Times New Roman"/>
          <w:b/>
          <w:sz w:val="24"/>
          <w:szCs w:val="24"/>
        </w:rPr>
        <w:t xml:space="preserve">1.Предмет на обществена поръчка, наименование на </w:t>
      </w:r>
      <w:r>
        <w:rPr>
          <w:rFonts w:ascii="Times New Roman" w:hAnsi="Times New Roman"/>
          <w:b/>
          <w:sz w:val="24"/>
          <w:szCs w:val="24"/>
        </w:rPr>
        <w:t xml:space="preserve">следните </w:t>
      </w:r>
      <w:r w:rsidRPr="00C74039">
        <w:rPr>
          <w:rFonts w:ascii="Times New Roman" w:hAnsi="Times New Roman"/>
          <w:b/>
          <w:sz w:val="24"/>
          <w:szCs w:val="24"/>
        </w:rPr>
        <w:t>обект</w:t>
      </w:r>
      <w:r>
        <w:rPr>
          <w:rFonts w:ascii="Times New Roman" w:hAnsi="Times New Roman"/>
          <w:b/>
          <w:sz w:val="24"/>
          <w:szCs w:val="24"/>
        </w:rPr>
        <w:t>и</w:t>
      </w:r>
      <w:r w:rsidRPr="00C74039">
        <w:rPr>
          <w:rFonts w:ascii="Times New Roman" w:hAnsi="Times New Roman"/>
          <w:sz w:val="24"/>
          <w:szCs w:val="24"/>
        </w:rPr>
        <w:t xml:space="preserve">: </w:t>
      </w:r>
    </w:p>
    <w:p w:rsidR="00C85A53" w:rsidRPr="00FB7D9F" w:rsidRDefault="00C85A53" w:rsidP="00C85A53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C85A53" w:rsidRPr="00C85A53" w:rsidRDefault="00C85A53" w:rsidP="00C85A53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CA21D0">
        <w:rPr>
          <w:rFonts w:ascii="Times New Roman" w:hAnsi="Times New Roman"/>
          <w:b/>
          <w:i/>
          <w:sz w:val="24"/>
          <w:szCs w:val="24"/>
          <w:lang w:val="en-US" w:eastAsia="bg-BG"/>
        </w:rPr>
        <w:t xml:space="preserve">   </w:t>
      </w:r>
      <w:r w:rsidRPr="00CA21D0">
        <w:rPr>
          <w:rFonts w:ascii="Times New Roman" w:hAnsi="Times New Roman"/>
          <w:b/>
          <w:i/>
          <w:sz w:val="24"/>
          <w:szCs w:val="24"/>
          <w:lang w:val="en-US" w:eastAsia="bg-BG"/>
        </w:rPr>
        <w:tab/>
      </w:r>
      <w:proofErr w:type="gramStart"/>
      <w:r w:rsidRPr="00C85A53">
        <w:rPr>
          <w:rFonts w:ascii="Times New Roman" w:hAnsi="Times New Roman"/>
          <w:sz w:val="24"/>
          <w:szCs w:val="24"/>
          <w:lang w:val="en-US" w:eastAsia="bg-BG"/>
        </w:rPr>
        <w:t>1</w:t>
      </w:r>
      <w:r w:rsidRPr="00C85A53">
        <w:rPr>
          <w:rFonts w:ascii="Times New Roman" w:hAnsi="Times New Roman"/>
          <w:sz w:val="24"/>
          <w:szCs w:val="24"/>
          <w:lang w:eastAsia="bg-BG"/>
        </w:rPr>
        <w:t>.1 Реконструкция на уличен водопровод Ф200мм и Ф100мм с ПЕВП Ф250мм и Ф110мм и СВО по ул.</w:t>
      </w:r>
      <w:proofErr w:type="gramEnd"/>
      <w:r w:rsidRPr="00C85A53">
        <w:rPr>
          <w:rFonts w:ascii="Times New Roman" w:hAnsi="Times New Roman"/>
          <w:sz w:val="24"/>
          <w:szCs w:val="24"/>
          <w:lang w:eastAsia="bg-BG"/>
        </w:rPr>
        <w:t xml:space="preserve"> „Райко Даскалов“, гр. Русе</w:t>
      </w:r>
    </w:p>
    <w:p w:rsidR="00C85A53" w:rsidRPr="00C85A53" w:rsidRDefault="00C85A53" w:rsidP="00C85A53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C85A53">
        <w:rPr>
          <w:rFonts w:ascii="Times New Roman" w:hAnsi="Times New Roman"/>
          <w:sz w:val="24"/>
          <w:szCs w:val="24"/>
          <w:lang w:val="en-US" w:eastAsia="bg-BG"/>
        </w:rPr>
        <w:t xml:space="preserve">   </w:t>
      </w:r>
      <w:r w:rsidRPr="00C85A53">
        <w:rPr>
          <w:rFonts w:ascii="Times New Roman" w:hAnsi="Times New Roman"/>
          <w:sz w:val="24"/>
          <w:szCs w:val="24"/>
          <w:lang w:val="en-US" w:eastAsia="bg-BG"/>
        </w:rPr>
        <w:tab/>
        <w:t>1</w:t>
      </w:r>
      <w:r w:rsidRPr="00C85A53">
        <w:rPr>
          <w:rFonts w:ascii="Times New Roman" w:hAnsi="Times New Roman"/>
          <w:sz w:val="24"/>
          <w:szCs w:val="24"/>
          <w:lang w:eastAsia="bg-BG"/>
        </w:rPr>
        <w:t>.2 Реконструкция на уличен водопровод Ф100мм чугун с ПЕВП Ф110/</w:t>
      </w:r>
      <w:proofErr w:type="gramStart"/>
      <w:r w:rsidRPr="00C85A53">
        <w:rPr>
          <w:rFonts w:ascii="Times New Roman" w:hAnsi="Times New Roman"/>
          <w:sz w:val="24"/>
          <w:szCs w:val="24"/>
          <w:lang w:eastAsia="bg-BG"/>
        </w:rPr>
        <w:t>10мм  и</w:t>
      </w:r>
      <w:proofErr w:type="gramEnd"/>
      <w:r w:rsidRPr="00C85A53">
        <w:rPr>
          <w:rFonts w:ascii="Times New Roman" w:hAnsi="Times New Roman"/>
          <w:sz w:val="24"/>
          <w:szCs w:val="24"/>
          <w:lang w:eastAsia="bg-BG"/>
        </w:rPr>
        <w:t xml:space="preserve"> Ф250мм чугун с ПЕВП Ф280/10 по ул. „Славянска“, гр. Русе</w:t>
      </w:r>
    </w:p>
    <w:p w:rsidR="00C85A53" w:rsidRPr="00C85A53" w:rsidRDefault="00C85A53" w:rsidP="00C85A53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C85A53" w:rsidRPr="00C85A53" w:rsidRDefault="00C85A53" w:rsidP="00C85A53">
      <w:pPr>
        <w:ind w:firstLine="708"/>
        <w:jc w:val="both"/>
      </w:pPr>
      <w:r w:rsidRPr="00C85A53">
        <w:t xml:space="preserve">2.Пълно описание на обектите на поръчката, включително основни характеристики: </w:t>
      </w:r>
    </w:p>
    <w:p w:rsidR="00C85A53" w:rsidRPr="00C85A53" w:rsidRDefault="00C85A53" w:rsidP="00C85A53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C85A53">
        <w:rPr>
          <w:rFonts w:ascii="Times New Roman" w:hAnsi="Times New Roman"/>
          <w:sz w:val="24"/>
          <w:szCs w:val="24"/>
          <w:lang w:val="en-US" w:eastAsia="bg-BG"/>
        </w:rPr>
        <w:t xml:space="preserve">   </w:t>
      </w:r>
      <w:r w:rsidRPr="00C85A53">
        <w:rPr>
          <w:rFonts w:ascii="Times New Roman" w:hAnsi="Times New Roman"/>
          <w:sz w:val="24"/>
          <w:szCs w:val="24"/>
          <w:lang w:val="en-US" w:eastAsia="bg-BG"/>
        </w:rPr>
        <w:tab/>
      </w:r>
      <w:r w:rsidRPr="00C85A53">
        <w:rPr>
          <w:rFonts w:ascii="Times New Roman" w:hAnsi="Times New Roman"/>
          <w:sz w:val="24"/>
          <w:szCs w:val="24"/>
          <w:lang w:eastAsia="bg-BG"/>
        </w:rPr>
        <w:t>2.1 Реконструкция на уличен водопровод Ф200мм и Ф100мм с ПЕВП Ф250мм и Ф110мм и СВО по ул. „Райко Даскалов“, гр. Русе</w:t>
      </w:r>
    </w:p>
    <w:p w:rsidR="00C85A53" w:rsidRPr="00C85A53" w:rsidRDefault="00C85A53" w:rsidP="00C85A53">
      <w:pPr>
        <w:ind w:firstLine="720"/>
        <w:jc w:val="both"/>
      </w:pPr>
    </w:p>
    <w:p w:rsidR="00C85A53" w:rsidRPr="00CA21D0" w:rsidRDefault="00C85A53" w:rsidP="00C85A53">
      <w:pPr>
        <w:ind w:firstLine="720"/>
        <w:jc w:val="both"/>
      </w:pPr>
      <w:r w:rsidRPr="00CA21D0">
        <w:t>І. Съществуващо положение.</w:t>
      </w:r>
    </w:p>
    <w:p w:rsidR="00C85A53" w:rsidRDefault="00C85A53" w:rsidP="00C85A53">
      <w:pPr>
        <w:ind w:firstLine="720"/>
        <w:jc w:val="both"/>
      </w:pPr>
      <w:r w:rsidRPr="00CA21D0">
        <w:t>По ул.“Райко Даскалов“ има действащи водопроводи - чугун Ф2</w:t>
      </w:r>
      <w:r w:rsidRPr="00CA21D0">
        <w:rPr>
          <w:lang w:val="ru-RU"/>
        </w:rPr>
        <w:t>0</w:t>
      </w:r>
      <w:r w:rsidRPr="00CA21D0">
        <w:t xml:space="preserve">0мм в участъкът от Т.1 до Т.14 и чугун Ф100мм от Т.13 до Т.49. Тези проводи са едни от най-старите използвани в централната градска част на Русе и аварират често. На места дълбочината достига 2.5м, което затруднява нормалната им експлоатация. </w:t>
      </w:r>
      <w:proofErr w:type="spellStart"/>
      <w:r w:rsidRPr="00CA21D0">
        <w:t>Сградните</w:t>
      </w:r>
      <w:proofErr w:type="spellEnd"/>
      <w:r w:rsidRPr="00CA21D0">
        <w:t xml:space="preserve"> водопроводни отклонения са от поцинковани тръби или от ПЕВП тръби. В участъкът на проекта има изградени действащи множество подземни комуникации (канали, газопроводи, ел. кабели, </w:t>
      </w:r>
      <w:proofErr w:type="spellStart"/>
      <w:r w:rsidRPr="00CA21D0">
        <w:t>събщителни</w:t>
      </w:r>
      <w:proofErr w:type="spellEnd"/>
      <w:r w:rsidRPr="00CA21D0">
        <w:t xml:space="preserve"> кабели и др.).  </w:t>
      </w:r>
    </w:p>
    <w:p w:rsidR="00C85A53" w:rsidRPr="00CA21D0" w:rsidRDefault="00C85A53" w:rsidP="00C85A53">
      <w:pPr>
        <w:ind w:firstLine="720"/>
        <w:jc w:val="both"/>
      </w:pPr>
      <w:r w:rsidRPr="00CA21D0">
        <w:t>І</w:t>
      </w:r>
      <w:r>
        <w:rPr>
          <w:lang w:val="en-US"/>
        </w:rPr>
        <w:t>I</w:t>
      </w:r>
      <w:r w:rsidRPr="00CA21D0">
        <w:t xml:space="preserve">. </w:t>
      </w:r>
      <w:r>
        <w:t>Проектно решение</w:t>
      </w:r>
    </w:p>
    <w:p w:rsidR="00C85A53" w:rsidRPr="00CA21D0" w:rsidRDefault="00C85A53" w:rsidP="00C85A53">
      <w:pPr>
        <w:ind w:firstLine="720"/>
        <w:jc w:val="both"/>
      </w:pPr>
      <w:r w:rsidRPr="00CA21D0">
        <w:t xml:space="preserve">Целта на проекта е подмяна на съществуващите водопроводи с нови по същите трасета и подмяна на </w:t>
      </w:r>
      <w:proofErr w:type="spellStart"/>
      <w:r w:rsidRPr="00CA21D0">
        <w:t>сградните</w:t>
      </w:r>
      <w:proofErr w:type="spellEnd"/>
      <w:r w:rsidRPr="00CA21D0">
        <w:t xml:space="preserve"> водопроводни отклонения с нови.</w:t>
      </w:r>
    </w:p>
    <w:p w:rsidR="00C85A53" w:rsidRPr="00CA21D0" w:rsidRDefault="00C85A53" w:rsidP="00C85A53">
      <w:pPr>
        <w:ind w:firstLine="720"/>
        <w:jc w:val="both"/>
      </w:pPr>
      <w:r w:rsidRPr="00CA21D0">
        <w:t xml:space="preserve">Новите водопроводи са предвидени да се изградят с тръби от ПЕВП с диаметри Ф250мм и Ф110мм. Проектното трасе е съобразено с изграждането и реконструкцията на подземните комуникации и настилките по проект: „Реконструкция и рехабилитация на пешеходната среда по ул. „Райко Даскалов“, гр. Русе“. </w:t>
      </w:r>
    </w:p>
    <w:p w:rsidR="00C85A53" w:rsidRPr="00CA21D0" w:rsidRDefault="00C85A53" w:rsidP="00C85A53">
      <w:pPr>
        <w:ind w:firstLine="720"/>
        <w:jc w:val="both"/>
      </w:pPr>
      <w:r w:rsidRPr="00CA21D0">
        <w:t>В проекта е предвидено от Т.1 до Т.42 новият водопровод да се положи на 1,0м от бордюра в уличното платно. От Т.42 до Т.49 водопроводът ще се положи по трасето на съществуващия през паркинга до Съдебната палата.</w:t>
      </w:r>
    </w:p>
    <w:p w:rsidR="00C85A53" w:rsidRPr="00CA21D0" w:rsidRDefault="00C85A53" w:rsidP="00C85A53">
      <w:pPr>
        <w:ind w:firstLine="720"/>
        <w:jc w:val="both"/>
      </w:pPr>
      <w:r w:rsidRPr="00CA21D0">
        <w:t xml:space="preserve">Реконструкцията на водопровод чугун Ф200мм от Т.1 до Т.14 ще се изпълни с тръби ПЕВП Ф250мм. В участъкът от Т.13 до Т.49 съществуващият водопровод чугун Ф100мм ще се подмени с ПЕВП Ф110мм. </w:t>
      </w:r>
    </w:p>
    <w:p w:rsidR="00C85A53" w:rsidRPr="00CA21D0" w:rsidRDefault="00C85A53" w:rsidP="00C85A53">
      <w:pPr>
        <w:ind w:firstLine="720"/>
        <w:jc w:val="both"/>
      </w:pPr>
      <w:r w:rsidRPr="00CA21D0">
        <w:t xml:space="preserve">Всички </w:t>
      </w:r>
      <w:proofErr w:type="spellStart"/>
      <w:r w:rsidRPr="00CA21D0">
        <w:t>сградни</w:t>
      </w:r>
      <w:proofErr w:type="spellEnd"/>
      <w:r w:rsidRPr="00CA21D0">
        <w:t xml:space="preserve"> водопроводни отклонения са заложени да се изпълнят от ПЕВП тръби с диаметри съответстващи на съществуващите.           Предварително да се уточнят местата за СВО, ако е необходимо да се търси помощта на „</w:t>
      </w:r>
      <w:proofErr w:type="spellStart"/>
      <w:r w:rsidRPr="00CA21D0">
        <w:t>ВиК</w:t>
      </w:r>
      <w:proofErr w:type="spellEnd"/>
      <w:r w:rsidRPr="00CA21D0">
        <w:t>“ ООД – Русе. При установяване на различия спрямо проекта да се извика проектанта на място за даване на решение.</w:t>
      </w:r>
    </w:p>
    <w:p w:rsidR="00C85A53" w:rsidRPr="00CA21D0" w:rsidRDefault="00C85A53" w:rsidP="00C85A53">
      <w:pPr>
        <w:ind w:firstLine="720"/>
        <w:jc w:val="both"/>
      </w:pPr>
      <w:r w:rsidRPr="00CA21D0">
        <w:t xml:space="preserve">В проекта е заложено изграждането на пожарни хидранти от надземен тип през не повече от 100м.   </w:t>
      </w:r>
    </w:p>
    <w:p w:rsidR="00C85A53" w:rsidRPr="00CA21D0" w:rsidRDefault="00C85A53" w:rsidP="00C85A53">
      <w:pPr>
        <w:ind w:firstLine="720"/>
        <w:jc w:val="both"/>
      </w:pPr>
    </w:p>
    <w:p w:rsidR="00C85A53" w:rsidRPr="00CA21D0" w:rsidRDefault="00C85A53" w:rsidP="00C85A53">
      <w:r w:rsidRPr="00CA21D0">
        <w:lastRenderedPageBreak/>
        <w:t xml:space="preserve">      </w:t>
      </w:r>
      <w:r w:rsidRPr="00CA21D0">
        <w:object w:dxaOrig="17655" w:dyaOrig="11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5pt;height:243.1pt" o:ole="">
            <v:imagedata r:id="rId5" o:title="" croptop="19201f" cropbottom="19201f" cropleft="8418f" cropright="42090f"/>
          </v:shape>
          <o:OLEObject Type="Embed" ProgID="AutoCAD.Drawing.15" ShapeID="_x0000_i1025" DrawAspect="Content" ObjectID="_1539005315" r:id="rId6"/>
        </w:object>
      </w:r>
      <w:r w:rsidRPr="00CA21D0">
        <w:t xml:space="preserve">   </w:t>
      </w:r>
      <w:r w:rsidRPr="00CA21D0">
        <w:object w:dxaOrig="17655" w:dyaOrig="11610">
          <v:shape id="_x0000_i1026" type="#_x0000_t75" style="width:195.8pt;height:233.75pt" o:ole="">
            <v:imagedata r:id="rId7" o:title="" croptop="16001f" cropbottom="22401f" cropleft="25254f" cropright="25254f"/>
          </v:shape>
          <o:OLEObject Type="Embed" ProgID="AutoCAD.Drawing.15" ShapeID="_x0000_i1026" DrawAspect="Content" ObjectID="_1539005316" r:id="rId8"/>
        </w:object>
      </w:r>
    </w:p>
    <w:p w:rsidR="00C85A53" w:rsidRPr="00CA21D0" w:rsidRDefault="00C85A53" w:rsidP="00C85A53">
      <w:pPr>
        <w:ind w:firstLine="720"/>
        <w:jc w:val="both"/>
      </w:pPr>
    </w:p>
    <w:p w:rsidR="00C85A53" w:rsidRPr="00CA21D0" w:rsidRDefault="00C85A53" w:rsidP="00C85A53">
      <w:pPr>
        <w:ind w:firstLine="720"/>
        <w:jc w:val="both"/>
      </w:pPr>
      <w:r w:rsidRPr="00CA21D0">
        <w:t>Оразмеряване на опорни блокове във чупките на водопровода представям в табличен вид от където се отчитат при строителството.</w:t>
      </w:r>
    </w:p>
    <w:p w:rsidR="00C85A53" w:rsidRPr="00CA21D0" w:rsidRDefault="00C85A53" w:rsidP="00C85A53">
      <w:pPr>
        <w:ind w:firstLine="720"/>
        <w:jc w:val="both"/>
      </w:pPr>
    </w:p>
    <w:tbl>
      <w:tblPr>
        <w:tblW w:w="7691" w:type="dxa"/>
        <w:tblInd w:w="6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04"/>
        <w:gridCol w:w="767"/>
        <w:gridCol w:w="1206"/>
        <w:gridCol w:w="399"/>
        <w:gridCol w:w="399"/>
        <w:gridCol w:w="399"/>
        <w:gridCol w:w="399"/>
        <w:gridCol w:w="500"/>
        <w:gridCol w:w="399"/>
        <w:gridCol w:w="500"/>
        <w:gridCol w:w="399"/>
        <w:gridCol w:w="580"/>
        <w:gridCol w:w="740"/>
      </w:tblGrid>
      <w:tr w:rsidR="00C85A53" w:rsidRPr="00CA21D0" w:rsidTr="00D43625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Ø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proofErr w:type="spellStart"/>
            <w:r w:rsidRPr="00CA21D0">
              <w:t>Ра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σ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Елемент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а</w:t>
            </w:r>
            <w:r w:rsidRPr="00CA21D0">
              <w:rPr>
                <w:vertAlign w:val="subscript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а</w:t>
            </w:r>
            <w:r w:rsidRPr="00CA21D0">
              <w:rPr>
                <w:vertAlign w:val="subscript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а</w:t>
            </w:r>
            <w:r w:rsidRPr="00CA21D0">
              <w:rPr>
                <w:vertAlign w:val="subscript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а</w:t>
            </w:r>
            <w:r w:rsidRPr="00CA21D0">
              <w:rPr>
                <w:vertAlign w:val="subscript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В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H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К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Б</w:t>
            </w:r>
          </w:p>
        </w:tc>
      </w:tr>
      <w:tr w:rsidR="00C85A53" w:rsidRPr="00CA21D0" w:rsidTr="00D43625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мм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proofErr w:type="spellStart"/>
            <w:r w:rsidRPr="00CA21D0">
              <w:t>атм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proofErr w:type="spellStart"/>
            <w:r w:rsidRPr="00CA21D0">
              <w:t>kN</w:t>
            </w:r>
            <w:proofErr w:type="spellEnd"/>
            <w:r w:rsidRPr="00CA21D0">
              <w:t>/m</w:t>
            </w:r>
            <w:r w:rsidRPr="00CA21D0">
              <w:rPr>
                <w:vertAlign w:val="superscrip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см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см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см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см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см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см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см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см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м</w:t>
            </w:r>
            <w:r w:rsidRPr="00CA21D0">
              <w:rPr>
                <w:vertAlign w:val="superscript"/>
              </w:rPr>
              <w:t>3</w:t>
            </w:r>
          </w:p>
        </w:tc>
      </w:tr>
      <w:tr w:rsidR="00C85A53" w:rsidRPr="00CA21D0" w:rsidTr="00D43625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110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proofErr w:type="spellStart"/>
            <w:r w:rsidRPr="00CA21D0">
              <w:t>тройник</w:t>
            </w:r>
            <w:proofErr w:type="spellEnd"/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15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25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20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50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25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30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1.62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0.10</w:t>
            </w:r>
          </w:p>
        </w:tc>
      </w:tr>
      <w:tr w:rsidR="00C85A53" w:rsidRPr="00CA21D0" w:rsidTr="00D43625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250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proofErr w:type="spellStart"/>
            <w:r w:rsidRPr="00CA21D0">
              <w:t>Tройник</w:t>
            </w:r>
            <w:proofErr w:type="spellEnd"/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15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55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110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25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1.62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0.70</w:t>
            </w:r>
          </w:p>
        </w:tc>
      </w:tr>
      <w:tr w:rsidR="00C85A53" w:rsidRPr="00CA21D0" w:rsidTr="00D43625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250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К-45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15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40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80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25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50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1.0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0.35</w:t>
            </w:r>
          </w:p>
        </w:tc>
      </w:tr>
      <w:tr w:rsidR="00C85A53" w:rsidRPr="00CA21D0" w:rsidTr="00D43625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250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K-90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15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55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110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25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1.62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CA21D0" w:rsidRDefault="00C85A53" w:rsidP="00D43625">
            <w:pPr>
              <w:jc w:val="center"/>
            </w:pPr>
            <w:r w:rsidRPr="00CA21D0">
              <w:t>0.70</w:t>
            </w:r>
          </w:p>
        </w:tc>
      </w:tr>
    </w:tbl>
    <w:p w:rsidR="00C85A53" w:rsidRPr="00CA21D0" w:rsidRDefault="00C85A53" w:rsidP="00C85A53">
      <w:pPr>
        <w:ind w:firstLine="720"/>
        <w:jc w:val="both"/>
      </w:pPr>
    </w:p>
    <w:p w:rsidR="00C85A53" w:rsidRPr="00CA21D0" w:rsidRDefault="00C85A53" w:rsidP="00C85A53">
      <w:pPr>
        <w:ind w:firstLine="720"/>
        <w:jc w:val="both"/>
      </w:pPr>
      <w:r w:rsidRPr="00CA21D0">
        <w:t xml:space="preserve">По продължението на тръбопровода и СВО да се закрепи детекторна лента с вградени медни нишки. Да се положи предупредителна лента на 0.50м дълбочина с цел предотвратяване възникването на механични повреди на тръбопровода в следствие започването на изкопни работи съгласно Наредба №8, Раздел </w:t>
      </w:r>
      <w:r w:rsidRPr="00CA21D0">
        <w:rPr>
          <w:lang w:val="en-US"/>
        </w:rPr>
        <w:t>II</w:t>
      </w:r>
      <w:r w:rsidRPr="00CA21D0">
        <w:t>, Чл.6, т.4 от 28.07.1999г. за правила и норми за разполагане на технически проводи в населени места, съгласно приложеният напречен профил</w:t>
      </w:r>
    </w:p>
    <w:p w:rsidR="00C85A53" w:rsidRPr="00CA21D0" w:rsidRDefault="00C85A53" w:rsidP="00C85A53">
      <w:pPr>
        <w:ind w:firstLine="720"/>
        <w:jc w:val="both"/>
      </w:pPr>
    </w:p>
    <w:p w:rsidR="00C85A53" w:rsidRPr="00CA21D0" w:rsidRDefault="00C85A53" w:rsidP="00C85A53">
      <w:pPr>
        <w:ind w:firstLine="720"/>
        <w:jc w:val="both"/>
      </w:pPr>
      <w:r w:rsidRPr="00CA21D0">
        <w:rPr>
          <w:lang w:val="de-DE"/>
        </w:rPr>
        <w:t>I</w:t>
      </w:r>
      <w:r w:rsidRPr="00CA21D0">
        <w:t>ІІ. Изпълнение.</w:t>
      </w:r>
    </w:p>
    <w:p w:rsidR="00C85A53" w:rsidRPr="00CA21D0" w:rsidRDefault="00C85A53" w:rsidP="00C85A53">
      <w:pPr>
        <w:jc w:val="both"/>
      </w:pPr>
      <w:r w:rsidRPr="00CA21D0">
        <w:tab/>
        <w:t>За изпълнението на проекта са предвидени следните етапи на строителство:</w:t>
      </w:r>
    </w:p>
    <w:p w:rsidR="00C85A53" w:rsidRPr="00CA21D0" w:rsidRDefault="00C85A53" w:rsidP="00C85A53">
      <w:pPr>
        <w:ind w:left="720"/>
        <w:jc w:val="both"/>
      </w:pPr>
      <w:r w:rsidRPr="00CA21D0">
        <w:t>I етап – от Т.1 до Т.14</w:t>
      </w:r>
    </w:p>
    <w:p w:rsidR="00C85A53" w:rsidRPr="00CA21D0" w:rsidRDefault="00C85A53" w:rsidP="00C85A53">
      <w:pPr>
        <w:ind w:left="720"/>
        <w:jc w:val="both"/>
      </w:pPr>
      <w:r w:rsidRPr="00CA21D0">
        <w:t>II етап – от Т.13 до Т.27</w:t>
      </w:r>
    </w:p>
    <w:p w:rsidR="00C85A53" w:rsidRPr="00CA21D0" w:rsidRDefault="00C85A53" w:rsidP="00C85A53">
      <w:pPr>
        <w:ind w:left="720"/>
        <w:jc w:val="both"/>
      </w:pPr>
      <w:r w:rsidRPr="00CA21D0">
        <w:t>III</w:t>
      </w:r>
      <w:r w:rsidRPr="00CA21D0">
        <w:rPr>
          <w:lang w:val="en-US"/>
        </w:rPr>
        <w:t xml:space="preserve"> </w:t>
      </w:r>
      <w:r w:rsidRPr="00CA21D0">
        <w:t>етап – от Т.27 до Т.33</w:t>
      </w:r>
    </w:p>
    <w:p w:rsidR="00C85A53" w:rsidRPr="00CA21D0" w:rsidRDefault="00C85A53" w:rsidP="00C85A53">
      <w:pPr>
        <w:ind w:left="720"/>
        <w:jc w:val="both"/>
      </w:pPr>
      <w:r w:rsidRPr="00CA21D0">
        <w:t>IV</w:t>
      </w:r>
      <w:r w:rsidRPr="00CA21D0">
        <w:rPr>
          <w:lang w:val="en-US"/>
        </w:rPr>
        <w:t xml:space="preserve"> </w:t>
      </w:r>
      <w:r w:rsidRPr="00CA21D0">
        <w:t>етап – от Т.33 до Т.44</w:t>
      </w:r>
    </w:p>
    <w:p w:rsidR="00C85A53" w:rsidRPr="00CA21D0" w:rsidRDefault="00C85A53" w:rsidP="00C85A53">
      <w:pPr>
        <w:ind w:left="720"/>
        <w:jc w:val="both"/>
      </w:pPr>
      <w:r w:rsidRPr="00CA21D0">
        <w:t>V</w:t>
      </w:r>
      <w:r w:rsidRPr="00CA21D0">
        <w:rPr>
          <w:lang w:val="en-US"/>
        </w:rPr>
        <w:t xml:space="preserve"> </w:t>
      </w:r>
      <w:r w:rsidRPr="00CA21D0">
        <w:t>етап – от Т.44 до Т.49</w:t>
      </w:r>
    </w:p>
    <w:p w:rsidR="00C85A53" w:rsidRPr="00CA21D0" w:rsidRDefault="00C85A53" w:rsidP="00C85A53">
      <w:pPr>
        <w:jc w:val="both"/>
      </w:pPr>
      <w:r w:rsidRPr="00CA21D0">
        <w:tab/>
        <w:t xml:space="preserve">Новите водопроводи ще се положат в непосредствена близост до съществуващите. След полагане на тръбите и </w:t>
      </w:r>
      <w:proofErr w:type="spellStart"/>
      <w:r w:rsidRPr="00CA21D0">
        <w:t>сградните</w:t>
      </w:r>
      <w:proofErr w:type="spellEnd"/>
      <w:r w:rsidRPr="00CA21D0">
        <w:t xml:space="preserve"> водопроводни отклонения направата на връзките ще се осъществи по описаните етапи в рамките на един работен ден.</w:t>
      </w:r>
    </w:p>
    <w:p w:rsidR="00C85A53" w:rsidRPr="00CA21D0" w:rsidRDefault="00C85A53" w:rsidP="00C85A53">
      <w:pPr>
        <w:jc w:val="both"/>
      </w:pPr>
    </w:p>
    <w:p w:rsidR="00C85A53" w:rsidRPr="00CA21D0" w:rsidRDefault="00C85A53" w:rsidP="00C85A53">
      <w:pPr>
        <w:ind w:firstLine="720"/>
        <w:jc w:val="both"/>
      </w:pPr>
      <w:r w:rsidRPr="00CA21D0">
        <w:t>Някои специфични дейности и препоръки</w:t>
      </w:r>
      <w:r w:rsidRPr="00CA21D0">
        <w:tab/>
        <w:t>:</w:t>
      </w:r>
    </w:p>
    <w:p w:rsidR="00C85A53" w:rsidRPr="00CA21D0" w:rsidRDefault="00C85A53" w:rsidP="00C85A53">
      <w:pPr>
        <w:jc w:val="both"/>
      </w:pPr>
      <w:r w:rsidRPr="00CA21D0">
        <w:lastRenderedPageBreak/>
        <w:tab/>
        <w:t>Тръбите  и фасонните части описани в монтажния план са от ПЕВП тип 100 и са за налягане 10 атмосфери (бара).</w:t>
      </w:r>
    </w:p>
    <w:p w:rsidR="00C85A53" w:rsidRPr="00CA21D0" w:rsidRDefault="00C85A53" w:rsidP="00C85A53">
      <w:pPr>
        <w:jc w:val="both"/>
      </w:pPr>
      <w:r w:rsidRPr="00CA21D0">
        <w:tab/>
        <w:t>Монтажните връзки на новите водопроводи да се изпълнят съгласно дадените монтажни възли.</w:t>
      </w:r>
    </w:p>
    <w:p w:rsidR="00C85A53" w:rsidRPr="00CA21D0" w:rsidRDefault="00C85A53" w:rsidP="00C85A53">
      <w:pPr>
        <w:ind w:firstLine="720"/>
        <w:jc w:val="both"/>
      </w:pPr>
      <w:r w:rsidRPr="00CA21D0">
        <w:t>Поради наличието на много съществуващи подземни комуникации изкопите да се извършват ръчно на мин. 50см от тях.</w:t>
      </w:r>
    </w:p>
    <w:p w:rsidR="00C85A53" w:rsidRDefault="00C85A53" w:rsidP="00C85A53">
      <w:pPr>
        <w:jc w:val="both"/>
        <w:rPr>
          <w:sz w:val="28"/>
          <w:szCs w:val="28"/>
          <w:lang w:val="en-US"/>
        </w:rPr>
      </w:pPr>
      <w:r w:rsidRPr="00CA21D0">
        <w:tab/>
        <w:t>При възникване на проблеми в хода на строителството да се търси</w:t>
      </w:r>
      <w:r w:rsidRPr="00D96C58">
        <w:rPr>
          <w:sz w:val="28"/>
          <w:szCs w:val="28"/>
        </w:rPr>
        <w:t xml:space="preserve"> съдействието на проектанта. </w:t>
      </w:r>
    </w:p>
    <w:p w:rsidR="00C85A53" w:rsidRDefault="00C85A53" w:rsidP="00C85A53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C85A53" w:rsidRPr="00C85A53" w:rsidRDefault="00C85A53" w:rsidP="00C85A53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CA21D0">
        <w:rPr>
          <w:rFonts w:ascii="Times New Roman" w:hAnsi="Times New Roman"/>
          <w:b/>
          <w:i/>
          <w:sz w:val="24"/>
          <w:szCs w:val="24"/>
          <w:lang w:val="en-US" w:eastAsia="bg-BG"/>
        </w:rPr>
        <w:t xml:space="preserve">   </w:t>
      </w:r>
      <w:r w:rsidRPr="00CA21D0">
        <w:rPr>
          <w:rFonts w:ascii="Times New Roman" w:hAnsi="Times New Roman"/>
          <w:b/>
          <w:i/>
          <w:sz w:val="24"/>
          <w:szCs w:val="24"/>
          <w:lang w:val="en-US" w:eastAsia="bg-BG"/>
        </w:rPr>
        <w:tab/>
      </w:r>
      <w:r w:rsidRPr="00C85A53">
        <w:rPr>
          <w:rFonts w:ascii="Times New Roman" w:hAnsi="Times New Roman"/>
          <w:sz w:val="24"/>
          <w:szCs w:val="24"/>
          <w:lang w:eastAsia="bg-BG"/>
        </w:rPr>
        <w:t>2.2 Реконструкция на уличен водопровод Ф100мм чугун с ПЕВП Ф110/10мм  и Ф250мм чугун с ПЕВП Ф280/10 по ул. „Славянска“, гр. Русе</w:t>
      </w:r>
    </w:p>
    <w:p w:rsidR="00C85A53" w:rsidRPr="00F04CFB" w:rsidRDefault="00C85A53" w:rsidP="00C85A53">
      <w:pPr>
        <w:jc w:val="both"/>
      </w:pPr>
      <w:r w:rsidRPr="00F04CFB">
        <w:tab/>
        <w:t>І. Съществуващо положение.</w:t>
      </w:r>
    </w:p>
    <w:p w:rsidR="00C85A53" w:rsidRPr="00F04CFB" w:rsidRDefault="00C85A53" w:rsidP="00C85A53">
      <w:pPr>
        <w:ind w:firstLine="720"/>
        <w:jc w:val="both"/>
      </w:pPr>
      <w:r>
        <w:t>Проектът обхваща ул.“Славя</w:t>
      </w:r>
      <w:r w:rsidRPr="00F04CFB">
        <w:t>нска“ в участъка от пл.“</w:t>
      </w:r>
      <w:proofErr w:type="spellStart"/>
      <w:r w:rsidRPr="00F04CFB">
        <w:t>Елиас</w:t>
      </w:r>
      <w:proofErr w:type="spellEnd"/>
      <w:r w:rsidRPr="00F04CFB">
        <w:t xml:space="preserve"> </w:t>
      </w:r>
      <w:proofErr w:type="spellStart"/>
      <w:r w:rsidRPr="00F04CFB">
        <w:t>Канети</w:t>
      </w:r>
      <w:proofErr w:type="spellEnd"/>
      <w:r w:rsidRPr="00F04CFB">
        <w:t xml:space="preserve">“ до Речна гара. В обхвата попадат съществуващите водопроводи Ф100мм чугун и Ф 250мм чугун. </w:t>
      </w:r>
    </w:p>
    <w:p w:rsidR="00C85A53" w:rsidRPr="00F04CFB" w:rsidRDefault="00C85A53" w:rsidP="00C85A53">
      <w:pPr>
        <w:ind w:firstLine="720"/>
        <w:jc w:val="both"/>
      </w:pPr>
      <w:r w:rsidRPr="00F04CFB">
        <w:t>Трасето на съществуващият водопровод започва от водопровод Ф100мм чугун при кръстовището на ул.“Добруджа“ с ул.“Славянска“ и пл.“</w:t>
      </w:r>
      <w:proofErr w:type="spellStart"/>
      <w:r w:rsidRPr="00F04CFB">
        <w:t>Елиас</w:t>
      </w:r>
      <w:proofErr w:type="spellEnd"/>
      <w:r w:rsidRPr="00F04CFB">
        <w:t xml:space="preserve"> </w:t>
      </w:r>
      <w:proofErr w:type="spellStart"/>
      <w:r w:rsidRPr="00F04CFB">
        <w:t>Канети</w:t>
      </w:r>
      <w:proofErr w:type="spellEnd"/>
      <w:r w:rsidRPr="00F04CFB">
        <w:t xml:space="preserve">“ продължава по ул.“Славянска“ на 1.0м от бордюра и стига до водопровод Ф250ммчугун при кръстовището с ул.“Княжеска“. </w:t>
      </w:r>
    </w:p>
    <w:p w:rsidR="00C85A53" w:rsidRPr="00F04CFB" w:rsidRDefault="00C85A53" w:rsidP="00C85A53">
      <w:pPr>
        <w:jc w:val="both"/>
      </w:pPr>
      <w:r w:rsidRPr="00F04CFB">
        <w:tab/>
        <w:t>ІІ. Проектно решение.</w:t>
      </w:r>
    </w:p>
    <w:p w:rsidR="00C85A53" w:rsidRPr="00F04CFB" w:rsidRDefault="00C85A53" w:rsidP="00C85A53">
      <w:pPr>
        <w:ind w:firstLine="720"/>
        <w:jc w:val="both"/>
      </w:pPr>
      <w:r w:rsidRPr="00F04CFB">
        <w:t xml:space="preserve">Целта на проекта е подобряване на водоснабдяването, намаляване загубите на вода, намаляване разходите за аварии и осигуряване на качество на услугата водоснабдяване на потребителите. </w:t>
      </w:r>
    </w:p>
    <w:p w:rsidR="00C85A53" w:rsidRPr="00F04CFB" w:rsidRDefault="00C85A53" w:rsidP="00C85A53">
      <w:pPr>
        <w:ind w:firstLine="720"/>
        <w:jc w:val="both"/>
      </w:pPr>
      <w:r w:rsidRPr="00F04CFB">
        <w:t>Трасето на новия водопровод по ул.“Славянска“ започва от кръстовището на ул.“Добруджа“ в посока кръстовището с ул.“Княжеска“ до водопровод Ф250мм чугун в дясната страна на 1.0м от съществуващият водопровод. Съществуващият водопровод Ф100мм чугун, ще се подмени с ПЕВП Ф110/10 с дължина 300м.</w:t>
      </w:r>
    </w:p>
    <w:p w:rsidR="00C85A53" w:rsidRPr="00F04CFB" w:rsidRDefault="00C85A53" w:rsidP="00C85A53">
      <w:pPr>
        <w:ind w:firstLine="720"/>
        <w:jc w:val="both"/>
      </w:pPr>
      <w:r w:rsidRPr="00F04CFB">
        <w:t>С подмяната на водопровод Ф100мм чугун по ул. „Славянска“ ще се подмени и участък по ул.“Цариброд“ с ПЕВП Ф110/10 с дължина от 30м от т.15 до т.22 чертеж 1.</w:t>
      </w:r>
    </w:p>
    <w:p w:rsidR="00C85A53" w:rsidRPr="00F04CFB" w:rsidRDefault="00C85A53" w:rsidP="00C85A53">
      <w:pPr>
        <w:jc w:val="both"/>
      </w:pPr>
      <w:r w:rsidRPr="00F04CFB">
        <w:tab/>
        <w:t>В участъка при кръстовището на ул.„Славянска“ с ул.“Отец Паисий“ и ул.“Епископ Босилков“ съществуващият водопровод Ф100мм чугун пред БРП и хотел „Севастопол“ , ще отпадне и ще се подмени участъка от т.23, т.9 до т.30 с ПЕВП Ф110/10 с дължина 132м.</w:t>
      </w:r>
    </w:p>
    <w:p w:rsidR="00C85A53" w:rsidRPr="00F04CFB" w:rsidRDefault="00C85A53" w:rsidP="00C85A53">
      <w:pPr>
        <w:jc w:val="both"/>
      </w:pPr>
      <w:r w:rsidRPr="00F04CFB">
        <w:tab/>
        <w:t>При кръстовището на ул.„Славянска“ с ул.“Княжеска“ и ул.“Цар Калоян“ съществуващият водопровод Ф250мм чугун ще се подмени с ПЕВП Ф280/10 с дължина 72м.</w:t>
      </w:r>
    </w:p>
    <w:p w:rsidR="00C85A53" w:rsidRPr="00F04CFB" w:rsidRDefault="00C85A53" w:rsidP="00C85A53">
      <w:pPr>
        <w:ind w:firstLine="720"/>
        <w:jc w:val="both"/>
      </w:pPr>
      <w:r w:rsidRPr="00F04CFB">
        <w:t xml:space="preserve">Трасето на съществуващия водопровод пресича множество подземни комуникации, които са отразени в надлъжния профил чертеж 3 и на ситуацията чертеж 1. </w:t>
      </w:r>
    </w:p>
    <w:p w:rsidR="00C85A53" w:rsidRPr="00F04CFB" w:rsidRDefault="00C85A53" w:rsidP="00C85A53">
      <w:pPr>
        <w:ind w:firstLine="720"/>
        <w:jc w:val="both"/>
      </w:pPr>
      <w:r w:rsidRPr="00F04CFB">
        <w:t xml:space="preserve">С подмяната на водопроводи Ф100мм и Ф250 ще се подменят и съществуващите </w:t>
      </w:r>
      <w:proofErr w:type="spellStart"/>
      <w:r w:rsidRPr="00F04CFB">
        <w:t>сградни</w:t>
      </w:r>
      <w:proofErr w:type="spellEnd"/>
      <w:r w:rsidRPr="00F04CFB">
        <w:t xml:space="preserve"> водопроводни отклонения /СВО/ за жилищните сгради и фирми до водомерния възел. В т. 3,5,14,16,17 и 28 съществуващите СВО са подменен с ПЕВП както е показано в чертеж 1.</w:t>
      </w:r>
    </w:p>
    <w:p w:rsidR="00C85A53" w:rsidRPr="00F04CFB" w:rsidRDefault="00C85A53" w:rsidP="00C85A53">
      <w:pPr>
        <w:jc w:val="both"/>
      </w:pPr>
      <w:r w:rsidRPr="00F04CFB">
        <w:tab/>
        <w:t xml:space="preserve">При направа на обратния насип тръбите да се засипват с еднородна пръст без каменни парчета и се трамбоват на пластове по </w:t>
      </w:r>
      <w:smartTag w:uri="urn:schemas-microsoft-com:office:smarttags" w:element="metricconverter">
        <w:smartTagPr>
          <w:attr w:name="ProductID" w:val="0.25 м"/>
        </w:smartTagPr>
        <w:r w:rsidRPr="00F04CFB">
          <w:t>0.25 м</w:t>
        </w:r>
      </w:smartTag>
      <w:r w:rsidRPr="00F04CFB">
        <w:t xml:space="preserve">. Обратното засипване да се извършва ръчно до достигане на </w:t>
      </w:r>
      <w:smartTag w:uri="urn:schemas-microsoft-com:office:smarttags" w:element="metricconverter">
        <w:smartTagPr>
          <w:attr w:name="ProductID" w:val="0.50 м"/>
        </w:smartTagPr>
        <w:r w:rsidRPr="00F04CFB">
          <w:t>0.50 м</w:t>
        </w:r>
      </w:smartTag>
      <w:r w:rsidRPr="00F04CFB">
        <w:t xml:space="preserve"> над теме тръба. </w:t>
      </w:r>
    </w:p>
    <w:p w:rsidR="00C85A53" w:rsidRPr="00F04CFB" w:rsidRDefault="00C85A53" w:rsidP="00C85A53">
      <w:pPr>
        <w:jc w:val="both"/>
      </w:pPr>
      <w:r w:rsidRPr="00F04CFB">
        <w:tab/>
        <w:t>1.Монтаж тръби.</w:t>
      </w:r>
    </w:p>
    <w:p w:rsidR="00C85A53" w:rsidRPr="00F04CFB" w:rsidRDefault="00C85A53" w:rsidP="00C85A53">
      <w:pPr>
        <w:jc w:val="both"/>
      </w:pPr>
      <w:r w:rsidRPr="00F04CFB">
        <w:tab/>
        <w:t>Тръбите и фасонните части описани в монтажния план са от ПЕВП тип 100 и са за налягане 10 атмосфери (бара).</w:t>
      </w:r>
    </w:p>
    <w:p w:rsidR="00C85A53" w:rsidRPr="00F04CFB" w:rsidRDefault="00C85A53" w:rsidP="00C85A53">
      <w:pPr>
        <w:jc w:val="both"/>
      </w:pPr>
      <w:r w:rsidRPr="00F04CFB">
        <w:tab/>
        <w:t>2.Монтажните връзки на новите тръбопроводи  ПЕВП Ф110мм и ПЕВП Ф280, да се изпълнят съгласно дадените монтажни възли в чертеж 1.</w:t>
      </w:r>
    </w:p>
    <w:p w:rsidR="00C85A53" w:rsidRPr="00F04CFB" w:rsidRDefault="00C85A53" w:rsidP="00C85A53">
      <w:pPr>
        <w:jc w:val="both"/>
      </w:pPr>
      <w:r w:rsidRPr="00F04CFB">
        <w:lastRenderedPageBreak/>
        <w:tab/>
        <w:t>3.Пълнене на участъка с вода.</w:t>
      </w:r>
    </w:p>
    <w:p w:rsidR="00C85A53" w:rsidRPr="00F04CFB" w:rsidRDefault="00C85A53" w:rsidP="00C85A53">
      <w:pPr>
        <w:jc w:val="both"/>
      </w:pPr>
      <w:r w:rsidRPr="00F04CFB">
        <w:tab/>
        <w:t xml:space="preserve">4.Изпитване на водопровода. Всеки изграден водопровод се подлага на хидравлично изпитване за доказване на </w:t>
      </w:r>
      <w:proofErr w:type="spellStart"/>
      <w:r w:rsidRPr="00F04CFB">
        <w:t>водоплътността</w:t>
      </w:r>
      <w:proofErr w:type="spellEnd"/>
      <w:r w:rsidRPr="00F04CFB">
        <w:t>, както и за проверка на якостта и изпълнението на тръбите, на фасонните части, връзките и другите водопроводни елементи. Това става съгласно Наредба 2 , чл. 162, чл. 163,         чл. 164, чл. 165, чл. 166.</w:t>
      </w:r>
    </w:p>
    <w:p w:rsidR="00C85A53" w:rsidRPr="00F04CFB" w:rsidRDefault="00C85A53" w:rsidP="00C85A53">
      <w:pPr>
        <w:jc w:val="both"/>
      </w:pPr>
      <w:r w:rsidRPr="00F04CFB">
        <w:tab/>
        <w:t>5.Изпразване, дезинфекция и промиване на водопровода става съгласно Наредба №2, чл. 167.</w:t>
      </w:r>
    </w:p>
    <w:p w:rsidR="00C85A53" w:rsidRPr="00F04CFB" w:rsidRDefault="00C85A53" w:rsidP="00C85A53">
      <w:pPr>
        <w:jc w:val="both"/>
      </w:pPr>
      <w:r w:rsidRPr="00F04CFB">
        <w:tab/>
        <w:t>6.Окончателно засипване на водопровода и възстановяване на трошенокаменната и асфалтова настилка. Изпитания и засипан на 0.50м над темето водопровод се до засипва до ниво околен терен. Обратния насип се изпълнява на пластове с Н=0.20м и се уплътнява с механична трамбовка тип “Пета”.</w:t>
      </w:r>
    </w:p>
    <w:p w:rsidR="00C85A53" w:rsidRPr="00F04CFB" w:rsidRDefault="00C85A53" w:rsidP="00C85A53">
      <w:pPr>
        <w:ind w:firstLine="720"/>
        <w:jc w:val="both"/>
      </w:pPr>
      <w:r w:rsidRPr="00F04CFB">
        <w:t>Съгласно Наредба № Із-1971 на СТПНОБП чл.170 са предвидени противопожарни кранове /хидранти/ 70/80мм – надземни на разстояние през 100м. Предвидено е монтирането на 4 бр. ПХ 70/80мм в т.2, т.8, т.13 и т.19, както е показано в ситуацията на чертеж 1.</w:t>
      </w:r>
    </w:p>
    <w:p w:rsidR="00C85A53" w:rsidRPr="00F04CFB" w:rsidRDefault="00C85A53" w:rsidP="00C85A53">
      <w:pPr>
        <w:ind w:firstLine="720"/>
        <w:jc w:val="both"/>
      </w:pPr>
      <w:r w:rsidRPr="00F04CFB">
        <w:t>Оразмеряване на опорни блокове във чупките на водопровода представям в табличен вид от където се отчитат при строителството.</w:t>
      </w:r>
    </w:p>
    <w:p w:rsidR="00C85A53" w:rsidRPr="00F04CFB" w:rsidRDefault="00C85A53" w:rsidP="00C85A53">
      <w:pPr>
        <w:ind w:firstLine="720"/>
        <w:jc w:val="both"/>
      </w:pPr>
    </w:p>
    <w:tbl>
      <w:tblPr>
        <w:tblW w:w="7691" w:type="dxa"/>
        <w:tblInd w:w="6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04"/>
        <w:gridCol w:w="767"/>
        <w:gridCol w:w="1206"/>
        <w:gridCol w:w="399"/>
        <w:gridCol w:w="399"/>
        <w:gridCol w:w="399"/>
        <w:gridCol w:w="399"/>
        <w:gridCol w:w="500"/>
        <w:gridCol w:w="399"/>
        <w:gridCol w:w="500"/>
        <w:gridCol w:w="399"/>
        <w:gridCol w:w="580"/>
        <w:gridCol w:w="740"/>
      </w:tblGrid>
      <w:tr w:rsidR="00C85A53" w:rsidRPr="00F04CFB" w:rsidTr="00D43625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Ø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proofErr w:type="spellStart"/>
            <w:r w:rsidRPr="00F04CFB">
              <w:t>Ра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σ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Елемент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а</w:t>
            </w:r>
            <w:r w:rsidRPr="00F04CFB">
              <w:rPr>
                <w:vertAlign w:val="subscript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а</w:t>
            </w:r>
            <w:r w:rsidRPr="00F04CFB">
              <w:rPr>
                <w:vertAlign w:val="subscript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а</w:t>
            </w:r>
            <w:r w:rsidRPr="00F04CFB">
              <w:rPr>
                <w:vertAlign w:val="subscript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а</w:t>
            </w:r>
            <w:r w:rsidRPr="00F04CFB">
              <w:rPr>
                <w:vertAlign w:val="subscript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В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H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К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Б</w:t>
            </w:r>
          </w:p>
        </w:tc>
      </w:tr>
      <w:tr w:rsidR="00C85A53" w:rsidRPr="00F04CFB" w:rsidTr="00D43625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мм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proofErr w:type="spellStart"/>
            <w:r w:rsidRPr="00F04CFB">
              <w:t>атм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proofErr w:type="spellStart"/>
            <w:r w:rsidRPr="00F04CFB">
              <w:t>kN</w:t>
            </w:r>
            <w:proofErr w:type="spellEnd"/>
            <w:r w:rsidRPr="00F04CFB">
              <w:t>/m</w:t>
            </w:r>
            <w:r w:rsidRPr="00F04CFB">
              <w:rPr>
                <w:vertAlign w:val="superscrip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см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см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см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см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см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см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см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см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м</w:t>
            </w:r>
            <w:r w:rsidRPr="00F04CFB">
              <w:rPr>
                <w:vertAlign w:val="superscript"/>
              </w:rPr>
              <w:t>3</w:t>
            </w:r>
          </w:p>
        </w:tc>
      </w:tr>
      <w:tr w:rsidR="00C85A53" w:rsidRPr="00F04CFB" w:rsidTr="00D43625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100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proofErr w:type="spellStart"/>
            <w:r w:rsidRPr="00F04CFB">
              <w:t>Тр</w:t>
            </w:r>
            <w:proofErr w:type="spellEnd"/>
            <w:r w:rsidRPr="00F04CFB">
              <w:t>. и дъга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15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25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20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50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25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30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1.62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0.10</w:t>
            </w:r>
          </w:p>
        </w:tc>
      </w:tr>
      <w:tr w:rsidR="00C85A53" w:rsidRPr="00F04CFB" w:rsidTr="00D43625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280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Коляно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15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40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80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25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50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1.62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53" w:rsidRPr="00F04CFB" w:rsidRDefault="00C85A53" w:rsidP="00D43625">
            <w:pPr>
              <w:jc w:val="center"/>
            </w:pPr>
            <w:r w:rsidRPr="00F04CFB">
              <w:t>0.35</w:t>
            </w:r>
          </w:p>
        </w:tc>
      </w:tr>
    </w:tbl>
    <w:p w:rsidR="00C85A53" w:rsidRPr="00F04CFB" w:rsidRDefault="00C85A53" w:rsidP="00C85A53">
      <w:pPr>
        <w:ind w:firstLine="720"/>
        <w:jc w:val="both"/>
      </w:pPr>
    </w:p>
    <w:p w:rsidR="00C85A53" w:rsidRPr="00F04CFB" w:rsidRDefault="00C85A53" w:rsidP="00C85A53">
      <w:pPr>
        <w:ind w:firstLine="720"/>
        <w:jc w:val="both"/>
      </w:pPr>
      <w:r w:rsidRPr="00F04CFB">
        <w:t>Изкопите се извършват ръчно в областта на тротоарите и съществуващите подземни комуникации.</w:t>
      </w:r>
    </w:p>
    <w:p w:rsidR="00C85A53" w:rsidRPr="00F04CFB" w:rsidRDefault="00C85A53" w:rsidP="00C85A53">
      <w:pPr>
        <w:jc w:val="both"/>
      </w:pPr>
      <w:r w:rsidRPr="00F04CFB">
        <w:tab/>
        <w:t>Изпълнителят се задължава да влага само стандартни материали, да спазва изискванията на Правилника за извършване и приемане на СМР и Норми по охрана на труда, както и всички други задължителни нормативни документи. Изпълнителя се задължава да изготви и съгласува проект по част ВОД</w:t>
      </w:r>
      <w:r w:rsidRPr="00F04CFB">
        <w:rPr>
          <w:lang w:val="ru-RU"/>
        </w:rPr>
        <w:t xml:space="preserve"> (</w:t>
      </w:r>
      <w:r w:rsidRPr="00F04CFB">
        <w:t>временна организация на движението) съгласно Наредба №16. Изпълнителят се задължава да възстанови настилките с дебелината на съществуващите но не по –малко от трошенокаменната настилка с дебелина 0.35м. и 0.12м на асфалтова. Възстановяването на настилките да се съгласува с пътно-строителните работи по улицата.</w:t>
      </w:r>
    </w:p>
    <w:p w:rsidR="00C85A53" w:rsidRPr="00F04CFB" w:rsidRDefault="00C85A53" w:rsidP="00C85A53">
      <w:pPr>
        <w:jc w:val="both"/>
      </w:pPr>
      <w:r w:rsidRPr="00F04CFB">
        <w:tab/>
        <w:t xml:space="preserve">При възникване на проблеми в хода на строителството да се търси съдействието на проектанта. </w:t>
      </w:r>
    </w:p>
    <w:p w:rsidR="00C85A53" w:rsidRDefault="00C85A53" w:rsidP="00C85A53">
      <w:r>
        <w:rPr>
          <w:sz w:val="28"/>
        </w:rPr>
        <w:lastRenderedPageBreak/>
        <w:t xml:space="preserve">      </w:t>
      </w:r>
      <w:r>
        <w:object w:dxaOrig="17655" w:dyaOrig="11610">
          <v:shape id="_x0000_i1027" type="#_x0000_t75" style="width:215.5pt;height:243.1pt" o:ole="">
            <v:imagedata r:id="rId5" o:title="" croptop="19201f" cropbottom="19201f" cropleft="8418f" cropright="42090f"/>
          </v:shape>
          <o:OLEObject Type="Embed" ProgID="AutoCAD.Drawing.15" ShapeID="_x0000_i1027" DrawAspect="Content" ObjectID="_1539005317" r:id="rId9"/>
        </w:object>
      </w:r>
      <w:r>
        <w:t xml:space="preserve">   </w:t>
      </w:r>
      <w:r>
        <w:object w:dxaOrig="17655" w:dyaOrig="11610">
          <v:shape id="_x0000_i1028" type="#_x0000_t75" style="width:195.8pt;height:233.75pt" o:ole="">
            <v:imagedata r:id="rId7" o:title="" croptop="16001f" cropbottom="22401f" cropleft="25254f" cropright="25254f"/>
          </v:shape>
          <o:OLEObject Type="Embed" ProgID="AutoCAD.Drawing.15" ShapeID="_x0000_i1028" DrawAspect="Content" ObjectID="_1539005318" r:id="rId10"/>
        </w:object>
      </w:r>
    </w:p>
    <w:p w:rsidR="00C85A53" w:rsidRPr="00F04CFB" w:rsidRDefault="00C85A53" w:rsidP="00C85A53">
      <w:pPr>
        <w:rPr>
          <w:u w:val="single"/>
        </w:rPr>
      </w:pPr>
      <w:r w:rsidRPr="00F04CFB">
        <w:t xml:space="preserve">                                        </w:t>
      </w:r>
      <w:r w:rsidRPr="00F04CFB">
        <w:rPr>
          <w:lang w:val="ru-RU"/>
        </w:rPr>
        <w:tab/>
      </w:r>
      <w:r w:rsidRPr="00F04CFB">
        <w:rPr>
          <w:lang w:val="en-US"/>
        </w:rPr>
        <w:tab/>
      </w:r>
      <w:r w:rsidRPr="00F04CFB">
        <w:rPr>
          <w:u w:val="single"/>
        </w:rPr>
        <w:t>Забележки:</w:t>
      </w:r>
    </w:p>
    <w:p w:rsidR="00C85A53" w:rsidRPr="00F04CFB" w:rsidRDefault="00C85A53" w:rsidP="00C85A53">
      <w:pPr>
        <w:jc w:val="both"/>
      </w:pPr>
      <w:r w:rsidRPr="00F04CFB">
        <w:tab/>
        <w:t>1. Преди започване на изкопните работи де се уведомят:</w:t>
      </w:r>
    </w:p>
    <w:p w:rsidR="00C85A53" w:rsidRPr="00F04CFB" w:rsidRDefault="00C85A53" w:rsidP="00C85A53">
      <w:pPr>
        <w:jc w:val="both"/>
      </w:pPr>
      <w:r w:rsidRPr="00F04CFB">
        <w:tab/>
        <w:t xml:space="preserve">Община Русе, </w:t>
      </w:r>
      <w:proofErr w:type="spellStart"/>
      <w:r w:rsidRPr="00F04CFB">
        <w:t>Виваком</w:t>
      </w:r>
      <w:proofErr w:type="spellEnd"/>
      <w:r w:rsidRPr="00F04CFB">
        <w:t xml:space="preserve">, </w:t>
      </w:r>
      <w:proofErr w:type="spellStart"/>
      <w:r w:rsidRPr="00F04CFB">
        <w:t>Енерго</w:t>
      </w:r>
      <w:proofErr w:type="spellEnd"/>
      <w:r w:rsidRPr="00F04CFB">
        <w:t xml:space="preserve"> </w:t>
      </w:r>
      <w:proofErr w:type="spellStart"/>
      <w:r w:rsidRPr="00F04CFB">
        <w:t>Про</w:t>
      </w:r>
      <w:proofErr w:type="spellEnd"/>
      <w:r w:rsidRPr="00F04CFB">
        <w:t>, Ви</w:t>
      </w:r>
      <w:r w:rsidRPr="00F04CFB">
        <w:rPr>
          <w:lang w:val="en-US"/>
        </w:rPr>
        <w:t>K</w:t>
      </w:r>
      <w:r w:rsidRPr="00F04CFB">
        <w:t>, Газоснабдяване и Топлофикация.</w:t>
      </w:r>
    </w:p>
    <w:p w:rsidR="00C85A53" w:rsidRPr="00F04CFB" w:rsidRDefault="00C85A53" w:rsidP="00C85A53">
      <w:pPr>
        <w:jc w:val="both"/>
      </w:pPr>
      <w:r w:rsidRPr="00F04CFB">
        <w:tab/>
        <w:t xml:space="preserve">2.Да се направят </w:t>
      </w:r>
      <w:proofErr w:type="spellStart"/>
      <w:r w:rsidRPr="00F04CFB">
        <w:t>шурфове</w:t>
      </w:r>
      <w:proofErr w:type="spellEnd"/>
      <w:r w:rsidRPr="00F04CFB">
        <w:t xml:space="preserve"> за разкриване на съществуващите комуникации.</w:t>
      </w:r>
    </w:p>
    <w:p w:rsidR="00C85A53" w:rsidRPr="00F04CFB" w:rsidRDefault="00C85A53" w:rsidP="00C85A53">
      <w:pPr>
        <w:jc w:val="both"/>
      </w:pPr>
      <w:r w:rsidRPr="00F04CFB">
        <w:tab/>
        <w:t>3.Да се копае ръчно при пресичане на други подземни комуникации.</w:t>
      </w:r>
    </w:p>
    <w:p w:rsidR="00C85A53" w:rsidRPr="00F04CFB" w:rsidRDefault="00C85A53" w:rsidP="00C85A53">
      <w:pPr>
        <w:jc w:val="both"/>
      </w:pPr>
      <w:r w:rsidRPr="00F04CFB">
        <w:tab/>
        <w:t xml:space="preserve">4.Дълбочината на водопровода е приета 1,50м над теме тръба. След </w:t>
      </w:r>
      <w:proofErr w:type="spellStart"/>
      <w:r w:rsidRPr="00F04CFB">
        <w:t>шурфиране</w:t>
      </w:r>
      <w:proofErr w:type="spellEnd"/>
      <w:r w:rsidRPr="00F04CFB">
        <w:t xml:space="preserve"> да се установят дълбочините на съществуващите връзки.</w:t>
      </w:r>
    </w:p>
    <w:p w:rsidR="00C85A53" w:rsidRPr="00F04CFB" w:rsidRDefault="00C85A53" w:rsidP="00C85A53">
      <w:pPr>
        <w:tabs>
          <w:tab w:val="left" w:pos="720"/>
          <w:tab w:val="left" w:pos="1080"/>
        </w:tabs>
        <w:jc w:val="both"/>
      </w:pPr>
      <w:r w:rsidRPr="00F04CFB">
        <w:tab/>
        <w:t>5.При възникване на различия спрямо проекта, работата да се преустанови и да се извика проектанта на място.</w:t>
      </w:r>
    </w:p>
    <w:p w:rsidR="00C85A53" w:rsidRPr="00F04CFB" w:rsidRDefault="00C85A53" w:rsidP="00C85A53">
      <w:pPr>
        <w:tabs>
          <w:tab w:val="left" w:pos="720"/>
          <w:tab w:val="left" w:pos="1080"/>
        </w:tabs>
        <w:jc w:val="both"/>
      </w:pPr>
      <w:r w:rsidRPr="00F04CFB">
        <w:tab/>
        <w:t>6.Укрепване на изкопа да се извърши при необходимост след започване на изкопните работи.</w:t>
      </w:r>
    </w:p>
    <w:p w:rsidR="00C85A53" w:rsidRPr="00F04CFB" w:rsidRDefault="00C85A53" w:rsidP="00C85A53">
      <w:pPr>
        <w:tabs>
          <w:tab w:val="left" w:pos="720"/>
          <w:tab w:val="left" w:pos="1080"/>
        </w:tabs>
        <w:jc w:val="both"/>
      </w:pPr>
      <w:r w:rsidRPr="00F04CFB">
        <w:tab/>
        <w:t>7.Дебелината на възстановената асфалтова настилка ще се установи след замерване дебелината на съществуващата.</w:t>
      </w:r>
    </w:p>
    <w:p w:rsidR="00C85A53" w:rsidRDefault="00C85A53" w:rsidP="00C85A53">
      <w:pPr>
        <w:ind w:firstLine="540"/>
        <w:jc w:val="both"/>
        <w:rPr>
          <w:b/>
        </w:rPr>
      </w:pPr>
    </w:p>
    <w:p w:rsidR="00C85A53" w:rsidRPr="00C74039" w:rsidRDefault="00C85A53" w:rsidP="00C85A53">
      <w:pPr>
        <w:ind w:firstLine="540"/>
        <w:jc w:val="both"/>
        <w:rPr>
          <w:b/>
        </w:rPr>
      </w:pPr>
      <w:r w:rsidRPr="00C74039">
        <w:rPr>
          <w:b/>
        </w:rPr>
        <w:t>3.Технически условия за изпълнение на поръчката:</w:t>
      </w:r>
    </w:p>
    <w:p w:rsidR="00C85A53" w:rsidRPr="00C74039" w:rsidRDefault="00C85A53" w:rsidP="00C85A53">
      <w:pPr>
        <w:jc w:val="both"/>
      </w:pPr>
      <w:r w:rsidRPr="00C74039">
        <w:tab/>
        <w:t xml:space="preserve">Изискванията за предвидените материали са описани в </w:t>
      </w:r>
      <w:r>
        <w:t xml:space="preserve">съответния </w:t>
      </w:r>
      <w:r w:rsidRPr="00C74039">
        <w:t>инвестицион</w:t>
      </w:r>
      <w:r>
        <w:t>е</w:t>
      </w:r>
      <w:r w:rsidRPr="00C74039">
        <w:t xml:space="preserve">н проект. </w:t>
      </w:r>
    </w:p>
    <w:p w:rsidR="00C85A53" w:rsidRDefault="00C85A53" w:rsidP="00C85A53">
      <w:pPr>
        <w:ind w:firstLine="708"/>
        <w:jc w:val="both"/>
      </w:pPr>
      <w:r>
        <w:t>Строежи</w:t>
      </w:r>
      <w:r w:rsidRPr="00C74039">
        <w:t>т</w:t>
      </w:r>
      <w:r>
        <w:t>е</w:t>
      </w:r>
      <w:r w:rsidRPr="00C74039">
        <w:t xml:space="preserve">  </w:t>
      </w:r>
      <w:r>
        <w:t>са</w:t>
      </w:r>
      <w:r w:rsidRPr="00C74039">
        <w:t xml:space="preserve"> </w:t>
      </w:r>
      <w:r>
        <w:t>трета</w:t>
      </w:r>
      <w:r w:rsidRPr="00C74039">
        <w:t xml:space="preserve"> категория съгласно ЗУТ</w:t>
      </w:r>
      <w:r>
        <w:t>.</w:t>
      </w:r>
    </w:p>
    <w:p w:rsidR="00C85A53" w:rsidRPr="00C74039" w:rsidRDefault="00C85A53" w:rsidP="00C85A53">
      <w:pPr>
        <w:pStyle w:val="Style"/>
        <w:ind w:firstLine="568"/>
      </w:pPr>
      <w:r w:rsidRPr="00C74039">
        <w:rPr>
          <w:b/>
        </w:rPr>
        <w:t>Преди започване на СМР</w:t>
      </w:r>
      <w:r w:rsidRPr="00C74039">
        <w:t xml:space="preserve"> </w:t>
      </w:r>
      <w:r>
        <w:rPr>
          <w:lang w:val="en-US"/>
        </w:rPr>
        <w:t>(</w:t>
      </w:r>
      <w:r w:rsidRPr="00C74039">
        <w:t xml:space="preserve">протокол </w:t>
      </w:r>
      <w:proofErr w:type="spellStart"/>
      <w:r w:rsidRPr="00C74039">
        <w:t>обр</w:t>
      </w:r>
      <w:proofErr w:type="spellEnd"/>
      <w:r w:rsidRPr="00C74039">
        <w:t>.2</w:t>
      </w:r>
      <w:r>
        <w:t xml:space="preserve">/акт </w:t>
      </w:r>
      <w:proofErr w:type="spellStart"/>
      <w:r>
        <w:t>обр</w:t>
      </w:r>
      <w:proofErr w:type="spellEnd"/>
      <w:r>
        <w:t>.11</w:t>
      </w:r>
      <w:r w:rsidRPr="00C74039">
        <w:rPr>
          <w:lang w:val="en-US"/>
        </w:rPr>
        <w:t xml:space="preserve">) </w:t>
      </w:r>
      <w:r w:rsidRPr="00C74039">
        <w:t>Строителят:</w:t>
      </w:r>
    </w:p>
    <w:p w:rsidR="00C85A53" w:rsidRPr="00C74039" w:rsidRDefault="00C85A53" w:rsidP="00C85A53">
      <w:pPr>
        <w:pStyle w:val="Style"/>
        <w:ind w:firstLine="568"/>
      </w:pPr>
      <w:r w:rsidRPr="00C74039">
        <w:t xml:space="preserve">Изработва Информационна табела за </w:t>
      </w:r>
      <w:r>
        <w:t xml:space="preserve">съответния </w:t>
      </w:r>
      <w:r w:rsidRPr="00C74039">
        <w:t>строеж съгласно чл.13 от Наредба№2</w:t>
      </w:r>
      <w:r w:rsidRPr="00C74039">
        <w:rPr>
          <w:bCs/>
        </w:rPr>
        <w:t xml:space="preserve"> от 22.03.2004г. за минималните изисквания за здравословни и безопасни условия на труд при извършване на СМР, чието съдържание се съгласува с Възложителя и уведомява </w:t>
      </w:r>
      <w:r w:rsidRPr="00C74039">
        <w:t>за откриването на строителната площадка съответното поделение на Изпълнителна агенция "Главна инспекция по труда" и на Дирекцията за национален строителен контрол, като изпраща копие от съдържанието на информационната табела.</w:t>
      </w:r>
    </w:p>
    <w:p w:rsidR="00C85A53" w:rsidRPr="00C74039" w:rsidRDefault="00C85A53" w:rsidP="00C85A53">
      <w:pPr>
        <w:pStyle w:val="Style"/>
        <w:ind w:firstLine="568"/>
      </w:pPr>
      <w:r w:rsidRPr="00C74039">
        <w:rPr>
          <w:bCs/>
        </w:rPr>
        <w:tab/>
      </w:r>
      <w:r w:rsidRPr="00C74039">
        <w:t>копие от съдържанието на информационната табела.</w:t>
      </w:r>
    </w:p>
    <w:p w:rsidR="00C85A53" w:rsidRPr="00C74039" w:rsidRDefault="00C85A53" w:rsidP="00C85A53">
      <w:r w:rsidRPr="00C74039">
        <w:rPr>
          <w:bCs/>
        </w:rPr>
        <w:tab/>
      </w:r>
    </w:p>
    <w:p w:rsidR="00C85A53" w:rsidRPr="00C74039" w:rsidRDefault="00C85A53" w:rsidP="00C85A53">
      <w:pPr>
        <w:jc w:val="both"/>
        <w:rPr>
          <w:b/>
        </w:rPr>
      </w:pPr>
      <w:r w:rsidRPr="00C74039">
        <w:rPr>
          <w:b/>
        </w:rPr>
        <w:t xml:space="preserve">        4. Наличие на работни проекти и количествени сметки за подготовка на предложението, ако обществената поръчка е за строителство.</w:t>
      </w:r>
    </w:p>
    <w:p w:rsidR="00C85A53" w:rsidRPr="00C74039" w:rsidRDefault="00C85A53" w:rsidP="00C85A53">
      <w:pPr>
        <w:jc w:val="both"/>
      </w:pPr>
      <w:r w:rsidRPr="00C74039">
        <w:t>да</w:t>
      </w:r>
    </w:p>
    <w:p w:rsidR="00C85A53" w:rsidRDefault="00C85A53" w:rsidP="00C85A53">
      <w:pPr>
        <w:jc w:val="both"/>
        <w:rPr>
          <w:b/>
        </w:rPr>
      </w:pPr>
      <w:r w:rsidRPr="00C74039">
        <w:rPr>
          <w:b/>
        </w:rPr>
        <w:t xml:space="preserve">      </w:t>
      </w:r>
      <w:r>
        <w:rPr>
          <w:b/>
          <w:lang w:val="en-US"/>
        </w:rPr>
        <w:t xml:space="preserve">                                                                                           </w:t>
      </w:r>
    </w:p>
    <w:p w:rsidR="00C85A53" w:rsidRPr="003832D1" w:rsidRDefault="00C85A53" w:rsidP="00C85A53">
      <w:pPr>
        <w:jc w:val="both"/>
      </w:pPr>
      <w:r>
        <w:rPr>
          <w:b/>
        </w:rPr>
        <w:lastRenderedPageBreak/>
        <w:t xml:space="preserve">  </w:t>
      </w:r>
      <w:r w:rsidRPr="003832D1">
        <w:rPr>
          <w:b/>
        </w:rPr>
        <w:t xml:space="preserve">  5. Ориентировъчна стойност на цялата поръчката: </w:t>
      </w:r>
      <w:r>
        <w:rPr>
          <w:b/>
          <w:lang w:val="en-US"/>
        </w:rPr>
        <w:t>269</w:t>
      </w:r>
      <w:r>
        <w:rPr>
          <w:lang w:val="en-US"/>
        </w:rPr>
        <w:t> </w:t>
      </w:r>
      <w:r w:rsidRPr="00F0303A">
        <w:rPr>
          <w:b/>
          <w:lang w:val="en-US"/>
        </w:rPr>
        <w:t>800</w:t>
      </w:r>
      <w:r>
        <w:t>,</w:t>
      </w:r>
      <w:r w:rsidRPr="00F0303A">
        <w:rPr>
          <w:b/>
        </w:rPr>
        <w:t>00</w:t>
      </w:r>
      <w:r w:rsidRPr="003832D1">
        <w:t xml:space="preserve"> лв. без ДДС или  </w:t>
      </w:r>
      <w:r>
        <w:rPr>
          <w:b/>
        </w:rPr>
        <w:t>323760,00</w:t>
      </w:r>
      <w:r w:rsidRPr="003832D1">
        <w:t>лв. с ДДС</w:t>
      </w:r>
    </w:p>
    <w:p w:rsidR="00C85A53" w:rsidRPr="003832D1" w:rsidRDefault="00C85A53" w:rsidP="00C85A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32D1">
        <w:rPr>
          <w:rFonts w:ascii="Times New Roman" w:hAnsi="Times New Roman"/>
          <w:b/>
          <w:sz w:val="24"/>
          <w:szCs w:val="24"/>
        </w:rPr>
        <w:t xml:space="preserve">  </w:t>
      </w:r>
      <w:r w:rsidRPr="003832D1">
        <w:rPr>
          <w:rFonts w:ascii="Times New Roman" w:hAnsi="Times New Roman"/>
          <w:sz w:val="24"/>
          <w:szCs w:val="24"/>
        </w:rPr>
        <w:t xml:space="preserve">5.1 </w:t>
      </w:r>
      <w:r w:rsidRPr="003832D1">
        <w:rPr>
          <w:rFonts w:ascii="Times New Roman" w:hAnsi="Times New Roman"/>
          <w:b/>
          <w:sz w:val="24"/>
          <w:szCs w:val="24"/>
        </w:rPr>
        <w:t xml:space="preserve">  Ориентировъчна стойност на </w:t>
      </w:r>
      <w:r w:rsidRPr="003832D1">
        <w:rPr>
          <w:rFonts w:ascii="Times New Roman" w:hAnsi="Times New Roman"/>
          <w:sz w:val="24"/>
          <w:szCs w:val="24"/>
        </w:rPr>
        <w:t>„</w:t>
      </w:r>
      <w:r w:rsidRPr="003832D1">
        <w:rPr>
          <w:rFonts w:ascii="Times New Roman" w:hAnsi="Times New Roman"/>
          <w:sz w:val="24"/>
          <w:szCs w:val="24"/>
          <w:lang w:eastAsia="bg-BG"/>
        </w:rPr>
        <w:t>Реконструкция на уличен водопровод Ф200мм и Ф100мм с ПЕВП Ф250мм и Ф110мм и СВО по ул. „Райко Даскалов“, гр. Русе</w:t>
      </w:r>
      <w:r w:rsidRPr="003832D1">
        <w:rPr>
          <w:rFonts w:ascii="Times New Roman" w:hAnsi="Times New Roman"/>
          <w:b/>
          <w:sz w:val="24"/>
          <w:szCs w:val="24"/>
        </w:rPr>
        <w:t xml:space="preserve">: </w:t>
      </w:r>
      <w:r w:rsidRPr="003832D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0 </w:t>
      </w:r>
      <w:r w:rsidRPr="003832D1">
        <w:rPr>
          <w:rFonts w:ascii="Times New Roman" w:hAnsi="Times New Roman"/>
          <w:sz w:val="24"/>
          <w:szCs w:val="24"/>
        </w:rPr>
        <w:t>800,</w:t>
      </w:r>
      <w:r>
        <w:rPr>
          <w:rFonts w:ascii="Times New Roman" w:hAnsi="Times New Roman"/>
          <w:sz w:val="24"/>
          <w:szCs w:val="24"/>
        </w:rPr>
        <w:t>00</w:t>
      </w:r>
      <w:r w:rsidRPr="003832D1">
        <w:rPr>
          <w:rFonts w:ascii="Times New Roman" w:hAnsi="Times New Roman"/>
          <w:sz w:val="24"/>
          <w:szCs w:val="24"/>
        </w:rPr>
        <w:t xml:space="preserve"> лв. без ДДС или  </w:t>
      </w:r>
      <w:r>
        <w:rPr>
          <w:rFonts w:ascii="Times New Roman" w:hAnsi="Times New Roman"/>
          <w:sz w:val="24"/>
          <w:szCs w:val="24"/>
        </w:rPr>
        <w:t>180 960,00</w:t>
      </w:r>
      <w:r w:rsidRPr="003832D1">
        <w:rPr>
          <w:rFonts w:ascii="Times New Roman" w:hAnsi="Times New Roman"/>
          <w:sz w:val="24"/>
          <w:szCs w:val="24"/>
        </w:rPr>
        <w:t xml:space="preserve"> лв. с ДДС</w:t>
      </w:r>
    </w:p>
    <w:p w:rsidR="00C85A53" w:rsidRDefault="00C85A53" w:rsidP="00C85A53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3832D1">
        <w:rPr>
          <w:rFonts w:ascii="Times New Roman" w:hAnsi="Times New Roman"/>
          <w:b/>
          <w:sz w:val="24"/>
          <w:szCs w:val="24"/>
        </w:rPr>
        <w:t xml:space="preserve">  </w:t>
      </w:r>
      <w:r w:rsidRPr="003832D1">
        <w:rPr>
          <w:rFonts w:ascii="Times New Roman" w:hAnsi="Times New Roman"/>
          <w:sz w:val="24"/>
          <w:szCs w:val="24"/>
        </w:rPr>
        <w:t xml:space="preserve">5.2 </w:t>
      </w:r>
      <w:r w:rsidRPr="003832D1">
        <w:rPr>
          <w:rFonts w:ascii="Times New Roman" w:hAnsi="Times New Roman"/>
          <w:b/>
          <w:sz w:val="24"/>
          <w:szCs w:val="24"/>
        </w:rPr>
        <w:t xml:space="preserve">  Ориентировъчна стойност на </w:t>
      </w:r>
      <w:r w:rsidRPr="003832D1">
        <w:rPr>
          <w:rFonts w:ascii="Times New Roman" w:hAnsi="Times New Roman"/>
          <w:sz w:val="24"/>
          <w:szCs w:val="24"/>
        </w:rPr>
        <w:t>„</w:t>
      </w:r>
      <w:r w:rsidRPr="003832D1">
        <w:rPr>
          <w:rFonts w:ascii="Times New Roman" w:hAnsi="Times New Roman"/>
          <w:sz w:val="24"/>
          <w:szCs w:val="24"/>
          <w:lang w:eastAsia="bg-BG"/>
        </w:rPr>
        <w:t>Реконструкция на уличен водопровод Ф100мм чугун с ПЕВП Ф110/10мм  и Ф250мм чугун с ПЕВП Ф280/10 по ул. „Славянска“, гр. Русе“</w:t>
      </w:r>
      <w:r w:rsidRPr="003832D1">
        <w:rPr>
          <w:rFonts w:ascii="Times New Roman" w:hAnsi="Times New Roman"/>
          <w:b/>
          <w:sz w:val="24"/>
          <w:szCs w:val="24"/>
        </w:rPr>
        <w:t xml:space="preserve">: </w:t>
      </w:r>
      <w:r w:rsidRPr="003832D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19 000</w:t>
      </w:r>
      <w:r w:rsidRPr="003832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</w:t>
      </w:r>
      <w:r w:rsidRPr="003832D1">
        <w:rPr>
          <w:rFonts w:ascii="Times New Roman" w:hAnsi="Times New Roman"/>
          <w:sz w:val="24"/>
          <w:szCs w:val="24"/>
        </w:rPr>
        <w:t xml:space="preserve"> лв. без ДДС или  1</w:t>
      </w:r>
      <w:r>
        <w:rPr>
          <w:rFonts w:ascii="Times New Roman" w:hAnsi="Times New Roman"/>
          <w:sz w:val="24"/>
          <w:szCs w:val="24"/>
        </w:rPr>
        <w:t>42 800</w:t>
      </w:r>
      <w:r w:rsidRPr="003832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</w:t>
      </w:r>
      <w:r w:rsidRPr="003832D1">
        <w:rPr>
          <w:rFonts w:ascii="Times New Roman" w:hAnsi="Times New Roman"/>
          <w:sz w:val="24"/>
          <w:szCs w:val="24"/>
        </w:rPr>
        <w:t xml:space="preserve"> лв. с ДДС</w:t>
      </w:r>
    </w:p>
    <w:p w:rsidR="00C85A53" w:rsidRDefault="00C85A53" w:rsidP="00C85A53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85A53" w:rsidRDefault="00C85A53" w:rsidP="00C85A53">
      <w:pPr>
        <w:ind w:firstLine="708"/>
        <w:jc w:val="both"/>
        <w:rPr>
          <w:b/>
        </w:rPr>
      </w:pPr>
      <w:r>
        <w:rPr>
          <w:b/>
          <w:lang w:val="en-US"/>
        </w:rPr>
        <w:t xml:space="preserve">6. </w:t>
      </w:r>
      <w:r w:rsidRPr="00C74039">
        <w:rPr>
          <w:b/>
        </w:rPr>
        <w:t>Срок за изпълнение:</w:t>
      </w:r>
      <w:r w:rsidRPr="00EE4E9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По предложение на участника в техническата оферта /в цяло число календарни дни/. Срокът не може да бъде по-малък от </w:t>
      </w:r>
      <w:r w:rsidR="002B6804">
        <w:rPr>
          <w:b/>
          <w:bCs/>
          <w:sz w:val="22"/>
          <w:szCs w:val="22"/>
          <w:lang w:val="en-US"/>
        </w:rPr>
        <w:t>9</w:t>
      </w:r>
      <w:r>
        <w:rPr>
          <w:b/>
          <w:bCs/>
          <w:sz w:val="22"/>
          <w:szCs w:val="22"/>
        </w:rPr>
        <w:t>0 календарни дни</w:t>
      </w:r>
    </w:p>
    <w:p w:rsidR="00C85A53" w:rsidRPr="00C74039" w:rsidRDefault="00C85A53" w:rsidP="00C85A53">
      <w:pPr>
        <w:pStyle w:val="a4"/>
        <w:ind w:firstLine="720"/>
        <w:jc w:val="both"/>
      </w:pPr>
      <w:r w:rsidRPr="00EE4E9C">
        <w:rPr>
          <w:rFonts w:ascii="Times New Roman" w:hAnsi="Times New Roman"/>
          <w:b w:val="0"/>
          <w:bCs/>
          <w:sz w:val="24"/>
          <w:szCs w:val="24"/>
          <w:lang w:val="bg-BG"/>
        </w:rPr>
        <w:t>Срокът на договора започва да тече</w:t>
      </w:r>
      <w:r>
        <w:rPr>
          <w:rFonts w:ascii="Times New Roman" w:hAnsi="Times New Roman"/>
          <w:b w:val="0"/>
          <w:bCs/>
          <w:sz w:val="24"/>
          <w:szCs w:val="24"/>
          <w:lang w:val="bg-BG"/>
        </w:rPr>
        <w:t xml:space="preserve">, </w:t>
      </w:r>
      <w:r w:rsidRPr="00BC1838">
        <w:rPr>
          <w:rFonts w:ascii="Times New Roman" w:hAnsi="Times New Roman"/>
          <w:bCs/>
          <w:sz w:val="24"/>
          <w:szCs w:val="24"/>
          <w:lang w:val="bg-BG"/>
        </w:rPr>
        <w:t xml:space="preserve">след </w:t>
      </w:r>
      <w:proofErr w:type="spellStart"/>
      <w:r w:rsidRPr="00BC1838">
        <w:rPr>
          <w:rFonts w:ascii="Times New Roman" w:hAnsi="Times New Roman"/>
          <w:bCs/>
          <w:sz w:val="24"/>
          <w:szCs w:val="24"/>
          <w:lang w:val="bg-BG"/>
        </w:rPr>
        <w:t>възлагателно</w:t>
      </w:r>
      <w:proofErr w:type="spellEnd"/>
      <w:r w:rsidRPr="00BC1838">
        <w:rPr>
          <w:rFonts w:ascii="Times New Roman" w:hAnsi="Times New Roman"/>
          <w:bCs/>
          <w:sz w:val="24"/>
          <w:szCs w:val="24"/>
          <w:lang w:val="bg-BG"/>
        </w:rPr>
        <w:t xml:space="preserve"> писмо</w:t>
      </w:r>
      <w:r>
        <w:rPr>
          <w:rFonts w:ascii="Times New Roman" w:hAnsi="Times New Roman"/>
          <w:b w:val="0"/>
          <w:bCs/>
          <w:sz w:val="24"/>
          <w:szCs w:val="24"/>
          <w:lang w:val="bg-BG"/>
        </w:rPr>
        <w:t xml:space="preserve">, </w:t>
      </w:r>
      <w:r w:rsidRPr="00EE4E9C">
        <w:rPr>
          <w:rFonts w:ascii="Times New Roman" w:hAnsi="Times New Roman"/>
          <w:b w:val="0"/>
          <w:bCs/>
          <w:sz w:val="24"/>
          <w:szCs w:val="24"/>
          <w:lang w:val="bg-BG"/>
        </w:rPr>
        <w:t xml:space="preserve"> от подписване на </w:t>
      </w:r>
      <w:r w:rsidR="002B6804">
        <w:rPr>
          <w:rFonts w:ascii="Times New Roman" w:hAnsi="Times New Roman"/>
          <w:b w:val="0"/>
          <w:bCs/>
          <w:sz w:val="24"/>
          <w:szCs w:val="24"/>
          <w:lang w:val="bg-BG"/>
        </w:rPr>
        <w:t xml:space="preserve">първия </w:t>
      </w:r>
      <w:r w:rsidRPr="00EE4E9C">
        <w:rPr>
          <w:rFonts w:ascii="Times New Roman" w:hAnsi="Times New Roman"/>
          <w:b w:val="0"/>
          <w:bCs/>
          <w:sz w:val="24"/>
          <w:szCs w:val="24"/>
          <w:lang w:val="bg-BG"/>
        </w:rPr>
        <w:t xml:space="preserve">Протокол </w:t>
      </w:r>
      <w:proofErr w:type="spellStart"/>
      <w:r w:rsidRPr="00EE4E9C">
        <w:rPr>
          <w:rFonts w:ascii="Times New Roman" w:hAnsi="Times New Roman"/>
          <w:b w:val="0"/>
          <w:bCs/>
          <w:sz w:val="24"/>
          <w:szCs w:val="24"/>
          <w:lang w:val="bg-BG"/>
        </w:rPr>
        <w:t>обр</w:t>
      </w:r>
      <w:proofErr w:type="spellEnd"/>
      <w:r w:rsidRPr="00EE4E9C">
        <w:rPr>
          <w:rFonts w:ascii="Times New Roman" w:hAnsi="Times New Roman"/>
          <w:b w:val="0"/>
          <w:bCs/>
          <w:sz w:val="24"/>
          <w:szCs w:val="24"/>
          <w:lang w:val="bg-BG"/>
        </w:rPr>
        <w:t>. № 2 за откриване на строителна площадка</w:t>
      </w:r>
      <w:r>
        <w:rPr>
          <w:rFonts w:ascii="Times New Roman" w:hAnsi="Times New Roman"/>
          <w:b w:val="0"/>
          <w:bCs/>
          <w:sz w:val="24"/>
          <w:szCs w:val="24"/>
          <w:lang w:val="bg-BG"/>
        </w:rPr>
        <w:t>/</w:t>
      </w:r>
      <w:r w:rsidRPr="00EE4E9C">
        <w:rPr>
          <w:rFonts w:ascii="Times New Roman" w:hAnsi="Times New Roman"/>
          <w:b w:val="0"/>
          <w:bCs/>
          <w:sz w:val="24"/>
          <w:szCs w:val="24"/>
          <w:lang w:val="bg-BG"/>
        </w:rPr>
        <w:t xml:space="preserve">акт </w:t>
      </w:r>
      <w:proofErr w:type="spellStart"/>
      <w:r w:rsidRPr="00EE4E9C">
        <w:rPr>
          <w:rFonts w:ascii="Times New Roman" w:hAnsi="Times New Roman"/>
          <w:b w:val="0"/>
          <w:bCs/>
          <w:sz w:val="24"/>
          <w:szCs w:val="24"/>
          <w:lang w:val="bg-BG"/>
        </w:rPr>
        <w:t>обр</w:t>
      </w:r>
      <w:proofErr w:type="spellEnd"/>
      <w:r w:rsidRPr="00EE4E9C">
        <w:rPr>
          <w:rFonts w:ascii="Times New Roman" w:hAnsi="Times New Roman"/>
          <w:b w:val="0"/>
          <w:bCs/>
          <w:sz w:val="24"/>
          <w:szCs w:val="24"/>
          <w:lang w:val="bg-BG"/>
        </w:rPr>
        <w:t xml:space="preserve">.11 за продължаване на строителството до </w:t>
      </w:r>
      <w:r>
        <w:rPr>
          <w:rFonts w:ascii="Times New Roman" w:hAnsi="Times New Roman"/>
          <w:b w:val="0"/>
          <w:color w:val="000000"/>
          <w:sz w:val="24"/>
          <w:szCs w:val="24"/>
          <w:lang w:val="bg-BG"/>
        </w:rPr>
        <w:t>съставяне на</w:t>
      </w:r>
      <w:r w:rsidR="002B6804">
        <w:rPr>
          <w:rFonts w:ascii="Times New Roman" w:hAnsi="Times New Roman"/>
          <w:b w:val="0"/>
          <w:color w:val="000000"/>
          <w:sz w:val="24"/>
          <w:szCs w:val="24"/>
          <w:lang w:val="bg-BG"/>
        </w:rPr>
        <w:t xml:space="preserve"> последния</w:t>
      </w:r>
      <w:r>
        <w:rPr>
          <w:rFonts w:ascii="Times New Roman" w:hAnsi="Times New Roman"/>
          <w:b w:val="0"/>
          <w:color w:val="000000"/>
          <w:sz w:val="24"/>
          <w:szCs w:val="24"/>
          <w:lang w:val="bg-BG"/>
        </w:rPr>
        <w:t xml:space="preserve"> Констативен акт </w:t>
      </w:r>
      <w:proofErr w:type="spellStart"/>
      <w:r>
        <w:rPr>
          <w:rFonts w:ascii="Times New Roman" w:hAnsi="Times New Roman"/>
          <w:b w:val="0"/>
          <w:color w:val="000000"/>
          <w:sz w:val="24"/>
          <w:szCs w:val="24"/>
          <w:lang w:val="bg-BG"/>
        </w:rPr>
        <w:t>о</w:t>
      </w:r>
      <w:r w:rsidRPr="00EE4E9C">
        <w:rPr>
          <w:rFonts w:ascii="Times New Roman" w:hAnsi="Times New Roman"/>
          <w:b w:val="0"/>
          <w:color w:val="000000"/>
          <w:sz w:val="24"/>
          <w:szCs w:val="24"/>
          <w:lang w:val="bg-BG"/>
        </w:rPr>
        <w:t>бр</w:t>
      </w:r>
      <w:proofErr w:type="spellEnd"/>
      <w:r w:rsidRPr="00EE4E9C">
        <w:rPr>
          <w:rFonts w:ascii="Times New Roman" w:hAnsi="Times New Roman"/>
          <w:b w:val="0"/>
          <w:color w:val="000000"/>
          <w:sz w:val="24"/>
          <w:szCs w:val="24"/>
          <w:lang w:val="bg-BG"/>
        </w:rPr>
        <w:t>.15 за установяване годността за приемане на строежа</w:t>
      </w:r>
      <w:r>
        <w:rPr>
          <w:b w:val="0"/>
          <w:i/>
          <w:color w:val="000000"/>
          <w:sz w:val="24"/>
          <w:szCs w:val="24"/>
          <w:lang w:val="bg-BG"/>
        </w:rPr>
        <w:t>.</w:t>
      </w:r>
    </w:p>
    <w:p w:rsidR="00C85A53" w:rsidRDefault="00C85A53" w:rsidP="00C85A53">
      <w:pPr>
        <w:ind w:firstLine="540"/>
        <w:jc w:val="both"/>
        <w:rPr>
          <w:lang w:val="en-US"/>
        </w:rPr>
      </w:pPr>
      <w:r w:rsidRPr="00C74039">
        <w:t xml:space="preserve">При неблагоприятни климатични условия или при спиране на строителството по нареждане на общински или държавен орган, както и по обективни причини, за които Изпълнителят няма вина, се съставя протокол за спиране на обекта /протокол </w:t>
      </w:r>
      <w:proofErr w:type="spellStart"/>
      <w:r w:rsidRPr="00C74039">
        <w:t>обр</w:t>
      </w:r>
      <w:proofErr w:type="spellEnd"/>
      <w:r w:rsidRPr="00C74039">
        <w:t xml:space="preserve">.10/ и  след отпадане причините за спиране се съставя протокол </w:t>
      </w:r>
      <w:proofErr w:type="spellStart"/>
      <w:r w:rsidRPr="00C74039">
        <w:t>обр</w:t>
      </w:r>
      <w:proofErr w:type="spellEnd"/>
      <w:r w:rsidRPr="00C74039">
        <w:t>.11 за започване на работа. Времетраенето на договора не тече за времето на спиране на обекта.</w:t>
      </w:r>
    </w:p>
    <w:p w:rsidR="00C85A53" w:rsidRDefault="00C85A53" w:rsidP="00C85A53">
      <w:pPr>
        <w:ind w:firstLine="540"/>
        <w:jc w:val="both"/>
        <w:rPr>
          <w:b/>
        </w:rPr>
      </w:pPr>
      <w:r>
        <w:rPr>
          <w:b/>
          <w:lang w:val="en-US"/>
        </w:rPr>
        <w:t xml:space="preserve">7. </w:t>
      </w:r>
      <w:r w:rsidRPr="00C74039">
        <w:rPr>
          <w:b/>
        </w:rPr>
        <w:t>Начин на образуване на предлаганата цена</w:t>
      </w:r>
    </w:p>
    <w:p w:rsidR="002B6804" w:rsidRDefault="002B6804" w:rsidP="00C85A53">
      <w:pPr>
        <w:ind w:firstLine="540"/>
        <w:jc w:val="both"/>
        <w:rPr>
          <w:b/>
        </w:rPr>
      </w:pPr>
      <w:bookmarkStart w:id="0" w:name="_GoBack"/>
      <w:bookmarkEnd w:id="0"/>
    </w:p>
    <w:p w:rsidR="00C85A53" w:rsidRDefault="00C85A53" w:rsidP="00C85A53">
      <w:pPr>
        <w:ind w:firstLine="708"/>
        <w:jc w:val="both"/>
      </w:pPr>
      <w:r>
        <w:t>Кандидатът да предложи  цена</w:t>
      </w:r>
      <w:r w:rsidRPr="00D748B8">
        <w:t xml:space="preserve"> за изпълнение на поръчката в лв. без ДДС,</w:t>
      </w:r>
      <w:r>
        <w:t xml:space="preserve"> която да не надхвърля упоменатата в т.5</w:t>
      </w:r>
    </w:p>
    <w:p w:rsidR="00C85A53" w:rsidRPr="00C74039" w:rsidRDefault="00C85A53" w:rsidP="00C85A53">
      <w:pPr>
        <w:ind w:firstLine="540"/>
        <w:jc w:val="both"/>
        <w:rPr>
          <w:b/>
        </w:rPr>
      </w:pPr>
    </w:p>
    <w:p w:rsidR="00C85A53" w:rsidRDefault="00C85A53" w:rsidP="00C85A53">
      <w:pPr>
        <w:ind w:firstLine="540"/>
        <w:jc w:val="both"/>
      </w:pPr>
      <w:r w:rsidRPr="002E1078">
        <w:rPr>
          <w:b/>
        </w:rPr>
        <w:t>Кандидатите да представят количествено-стойностна сметка за видовете СМР на хартиен и електронен носител</w:t>
      </w:r>
      <w:r>
        <w:t xml:space="preserve"> </w:t>
      </w:r>
      <w:r>
        <w:rPr>
          <w:lang w:val="en-US"/>
        </w:rPr>
        <w:t>(</w:t>
      </w:r>
      <w:r>
        <w:t>формат „</w:t>
      </w:r>
      <w:proofErr w:type="spellStart"/>
      <w:r>
        <w:rPr>
          <w:lang w:val="en-US"/>
        </w:rPr>
        <w:t>xls</w:t>
      </w:r>
      <w:proofErr w:type="spellEnd"/>
      <w:r>
        <w:rPr>
          <w:lang w:val="en-US"/>
        </w:rPr>
        <w:t xml:space="preserve">”). </w:t>
      </w:r>
      <w:r w:rsidRPr="0072769A">
        <w:t xml:space="preserve">В единичните цени да се включат всички операции, </w:t>
      </w:r>
      <w:r>
        <w:t>които технологично са необходим</w:t>
      </w:r>
      <w:r w:rsidRPr="0072769A">
        <w:t xml:space="preserve"> за извършване на конкретния вид СМР до окончателното му завършване, освен ако не са подадени от ВЪЗЛОЖИТЕЛЯ като отделна операция.</w:t>
      </w:r>
      <w:r w:rsidRPr="0072769A">
        <w:rPr>
          <w:b/>
        </w:rPr>
        <w:t xml:space="preserve"> </w:t>
      </w:r>
      <w:r w:rsidRPr="0072769A">
        <w:t>В случай, че в единичната цена не са включени цени на съпътстващи операции, необходими за извършване на дадения вид СМР, същите ще се извършват за сметка на ИЗПЪЛНИТЕЛЯ.</w:t>
      </w:r>
    </w:p>
    <w:p w:rsidR="00C85A53" w:rsidRPr="00FD2063" w:rsidRDefault="00C85A53" w:rsidP="00C85A53">
      <w:pPr>
        <w:ind w:firstLine="540"/>
        <w:jc w:val="both"/>
      </w:pPr>
      <w:r w:rsidRPr="00FD2063">
        <w:t>Всички непредвидени разходи са за сметка на изпълнителя.</w:t>
      </w:r>
    </w:p>
    <w:p w:rsidR="00C85A53" w:rsidRPr="00FD2063" w:rsidRDefault="00C85A53" w:rsidP="00C85A53">
      <w:pPr>
        <w:ind w:firstLine="540"/>
        <w:jc w:val="both"/>
      </w:pPr>
      <w:r w:rsidRPr="00FD2063">
        <w:t>Кандидатите предварително се запознават със състоянието на строежа на място, за което представят декларация.</w:t>
      </w:r>
    </w:p>
    <w:p w:rsidR="00C85A53" w:rsidRPr="00C85A53" w:rsidRDefault="00C85A53" w:rsidP="00C85A53">
      <w:pPr>
        <w:ind w:firstLine="540"/>
        <w:jc w:val="both"/>
        <w:rPr>
          <w:lang w:val="en-US"/>
        </w:rPr>
      </w:pPr>
    </w:p>
    <w:p w:rsidR="00C85A53" w:rsidRPr="00C85A53" w:rsidRDefault="00C85A53" w:rsidP="00C85A53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85A53" w:rsidRPr="00C85A53" w:rsidRDefault="00C85A53" w:rsidP="00C85A53">
      <w:pPr>
        <w:tabs>
          <w:tab w:val="left" w:pos="708"/>
          <w:tab w:val="left" w:pos="3511"/>
        </w:tabs>
        <w:rPr>
          <w:b/>
          <w:lang w:val="en-US"/>
        </w:rPr>
      </w:pPr>
    </w:p>
    <w:p w:rsidR="007A3216" w:rsidRDefault="007A3216"/>
    <w:sectPr w:rsidR="007A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42"/>
    <w:rsid w:val="00094C25"/>
    <w:rsid w:val="002B6804"/>
    <w:rsid w:val="005204AB"/>
    <w:rsid w:val="006D4D8E"/>
    <w:rsid w:val="00734642"/>
    <w:rsid w:val="007A3216"/>
    <w:rsid w:val="00C8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5A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C85A53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Title"/>
    <w:basedOn w:val="a"/>
    <w:link w:val="a5"/>
    <w:uiPriority w:val="99"/>
    <w:qFormat/>
    <w:rsid w:val="00C85A53"/>
    <w:pPr>
      <w:widowControl w:val="0"/>
      <w:tabs>
        <w:tab w:val="left" w:pos="-720"/>
      </w:tabs>
      <w:suppressAutoHyphens/>
      <w:jc w:val="center"/>
    </w:pPr>
    <w:rPr>
      <w:rFonts w:ascii="Calibri" w:eastAsia="Calibri" w:hAnsi="Calibri"/>
      <w:b/>
      <w:snapToGrid w:val="0"/>
      <w:sz w:val="48"/>
      <w:szCs w:val="20"/>
      <w:lang w:val="en-US" w:eastAsia="en-US"/>
    </w:rPr>
  </w:style>
  <w:style w:type="character" w:customStyle="1" w:styleId="a5">
    <w:name w:val="Заглавие Знак"/>
    <w:basedOn w:val="a0"/>
    <w:link w:val="a4"/>
    <w:uiPriority w:val="99"/>
    <w:rsid w:val="00C85A53"/>
    <w:rPr>
      <w:rFonts w:ascii="Calibri" w:eastAsia="Calibri" w:hAnsi="Calibri" w:cs="Times New Roman"/>
      <w:b/>
      <w:snapToGrid w:val="0"/>
      <w:sz w:val="4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5A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C85A53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Title"/>
    <w:basedOn w:val="a"/>
    <w:link w:val="a5"/>
    <w:uiPriority w:val="99"/>
    <w:qFormat/>
    <w:rsid w:val="00C85A53"/>
    <w:pPr>
      <w:widowControl w:val="0"/>
      <w:tabs>
        <w:tab w:val="left" w:pos="-720"/>
      </w:tabs>
      <w:suppressAutoHyphens/>
      <w:jc w:val="center"/>
    </w:pPr>
    <w:rPr>
      <w:rFonts w:ascii="Calibri" w:eastAsia="Calibri" w:hAnsi="Calibri"/>
      <w:b/>
      <w:snapToGrid w:val="0"/>
      <w:sz w:val="48"/>
      <w:szCs w:val="20"/>
      <w:lang w:val="en-US" w:eastAsia="en-US"/>
    </w:rPr>
  </w:style>
  <w:style w:type="character" w:customStyle="1" w:styleId="a5">
    <w:name w:val="Заглавие Знак"/>
    <w:basedOn w:val="a0"/>
    <w:link w:val="a4"/>
    <w:uiPriority w:val="99"/>
    <w:rsid w:val="00C85A53"/>
    <w:rPr>
      <w:rFonts w:ascii="Calibri" w:eastAsia="Calibri" w:hAnsi="Calibri" w:cs="Times New Roman"/>
      <w:b/>
      <w:snapToGrid w:val="0"/>
      <w:sz w:val="4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2016-10-13T13:17:00Z</dcterms:created>
  <dcterms:modified xsi:type="dcterms:W3CDTF">2016-10-26T13:42:00Z</dcterms:modified>
</cp:coreProperties>
</file>